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4B98D">
      <w:pPr>
        <w:overflowPunct w:val="0"/>
        <w:spacing w:line="600" w:lineRule="exact"/>
        <w:rPr>
          <w:rFonts w:ascii="黑体" w:hAnsi="黑体" w:eastAsia="黑体" w:cs="黑体"/>
          <w:snapToGrid w:val="0"/>
          <w:kern w:val="0"/>
          <w:sz w:val="32"/>
          <w:szCs w:val="32"/>
        </w:rPr>
      </w:pPr>
      <w:r>
        <w:rPr>
          <w:rFonts w:hint="eastAsia" w:ascii="黑体" w:hAnsi="黑体" w:eastAsia="黑体" w:cs="黑体"/>
          <w:snapToGrid w:val="0"/>
          <w:kern w:val="0"/>
          <w:sz w:val="32"/>
          <w:szCs w:val="32"/>
        </w:rPr>
        <w:t>附件1</w:t>
      </w:r>
    </w:p>
    <w:p w14:paraId="3CFC146C">
      <w:pPr>
        <w:overflowPunct w:val="0"/>
        <w:spacing w:line="585" w:lineRule="exact"/>
        <w:jc w:val="center"/>
        <w:rPr>
          <w:rFonts w:ascii="方正小标宋简体" w:hAnsi="Arial" w:eastAsia="方正小标宋简体" w:cs="Arial"/>
          <w:snapToGrid w:val="0"/>
          <w:sz w:val="44"/>
          <w:szCs w:val="44"/>
        </w:rPr>
      </w:pPr>
    </w:p>
    <w:p w14:paraId="3761AA70">
      <w:pPr>
        <w:overflowPunct w:val="0"/>
        <w:spacing w:line="585" w:lineRule="exact"/>
        <w:jc w:val="center"/>
        <w:rPr>
          <w:rFonts w:ascii="方正小标宋简体" w:hAnsi="Arial" w:eastAsia="方正小标宋简体" w:cs="Arial"/>
          <w:snapToGrid w:val="0"/>
          <w:sz w:val="44"/>
          <w:szCs w:val="44"/>
        </w:rPr>
      </w:pPr>
      <w:r>
        <w:rPr>
          <w:rFonts w:hint="eastAsia" w:ascii="方正小标宋简体" w:hAnsi="Arial" w:eastAsia="方正小标宋简体" w:cs="Arial"/>
          <w:snapToGrid w:val="0"/>
          <w:sz w:val="44"/>
          <w:szCs w:val="44"/>
        </w:rPr>
        <w:t>2026年江西省基础教育研究课题指南</w:t>
      </w:r>
    </w:p>
    <w:p w14:paraId="50FEA028">
      <w:pPr>
        <w:overflowPunct w:val="0"/>
        <w:autoSpaceDE w:val="0"/>
        <w:autoSpaceDN w:val="0"/>
        <w:adjustRightInd w:val="0"/>
        <w:snapToGrid w:val="0"/>
        <w:spacing w:line="585" w:lineRule="exact"/>
        <w:jc w:val="center"/>
        <w:textAlignment w:val="baseline"/>
        <w:rPr>
          <w:rFonts w:ascii="黑体" w:hAnsi="黑体" w:eastAsia="黑体" w:cs="Arial"/>
          <w:snapToGrid w:val="0"/>
          <w:kern w:val="0"/>
          <w:sz w:val="28"/>
          <w:szCs w:val="28"/>
        </w:rPr>
      </w:pPr>
    </w:p>
    <w:p w14:paraId="440332F2">
      <w:pPr>
        <w:topLinePunct/>
        <w:spacing w:line="585" w:lineRule="exact"/>
        <w:ind w:firstLine="640" w:firstLineChars="200"/>
        <w:rPr>
          <w:rFonts w:ascii="仿宋_GB2312" w:hAnsi="仿宋" w:eastAsia="仿宋_GB2312" w:cs="仿宋"/>
          <w:snapToGrid w:val="0"/>
          <w:kern w:val="0"/>
          <w:sz w:val="32"/>
          <w:szCs w:val="28"/>
        </w:rPr>
      </w:pPr>
      <w:r>
        <w:rPr>
          <w:rFonts w:ascii="仿宋_GB2312" w:hAnsi="仿宋" w:eastAsia="仿宋_GB2312" w:cs="仿宋"/>
          <w:snapToGrid w:val="0"/>
          <w:kern w:val="0"/>
          <w:sz w:val="32"/>
          <w:szCs w:val="28"/>
        </w:rPr>
        <w:t>本选题指南结合“十五五”期间江西基础教育课程教学改革形势任务及</w:t>
      </w:r>
      <w:r>
        <w:rPr>
          <w:rFonts w:hint="eastAsia" w:ascii="仿宋_GB2312" w:hAnsi="仿宋" w:eastAsia="仿宋_GB2312" w:cs="仿宋"/>
          <w:snapToGrid w:val="0"/>
          <w:kern w:val="0"/>
          <w:sz w:val="32"/>
          <w:szCs w:val="32"/>
        </w:rPr>
        <w:t>基础教育</w:t>
      </w:r>
      <w:r>
        <w:rPr>
          <w:rFonts w:ascii="仿宋_GB2312" w:hAnsi="仿宋" w:eastAsia="仿宋_GB2312" w:cs="仿宋"/>
          <w:snapToGrid w:val="0"/>
          <w:kern w:val="0"/>
          <w:sz w:val="32"/>
          <w:szCs w:val="32"/>
        </w:rPr>
        <w:t>重难点问题提出研究方向。</w:t>
      </w:r>
      <w:r>
        <w:rPr>
          <w:rFonts w:hint="eastAsia" w:ascii="仿宋_GB2312" w:hAnsi="仿宋" w:eastAsia="仿宋_GB2312" w:cs="仿宋"/>
          <w:snapToGrid w:val="0"/>
          <w:kern w:val="0"/>
          <w:sz w:val="32"/>
          <w:szCs w:val="32"/>
        </w:rPr>
        <w:t>仅有</w:t>
      </w:r>
      <w:r>
        <w:rPr>
          <w:rFonts w:ascii="仿宋_GB2312" w:hAnsi="仿宋" w:eastAsia="仿宋_GB2312" w:cs="仿宋"/>
          <w:snapToGrid w:val="0"/>
          <w:kern w:val="0"/>
          <w:sz w:val="32"/>
          <w:szCs w:val="32"/>
        </w:rPr>
        <w:t>少数可直接作为课题名称</w:t>
      </w:r>
      <w:r>
        <w:rPr>
          <w:rFonts w:hint="eastAsia" w:ascii="仿宋_GB2312" w:hAnsi="仿宋" w:eastAsia="仿宋_GB2312" w:cs="仿宋"/>
          <w:snapToGrid w:val="0"/>
          <w:kern w:val="0"/>
          <w:sz w:val="32"/>
          <w:szCs w:val="32"/>
        </w:rPr>
        <w:t>，</w:t>
      </w:r>
      <w:r>
        <w:rPr>
          <w:rFonts w:ascii="仿宋_GB2312" w:hAnsi="仿宋" w:eastAsia="仿宋_GB2312" w:cs="仿宋"/>
          <w:snapToGrid w:val="0"/>
          <w:kern w:val="0"/>
          <w:sz w:val="32"/>
          <w:szCs w:val="32"/>
        </w:rPr>
        <w:t>多数题目需细化、分解及校本化处理。申报者可参考指南，结合</w:t>
      </w:r>
      <w:r>
        <w:rPr>
          <w:rFonts w:hint="eastAsia" w:ascii="仿宋_GB2312" w:hAnsi="仿宋" w:eastAsia="仿宋_GB2312" w:cs="仿宋"/>
          <w:snapToGrid w:val="0"/>
          <w:kern w:val="0"/>
          <w:sz w:val="32"/>
          <w:szCs w:val="32"/>
        </w:rPr>
        <w:t>当地基础教育</w:t>
      </w:r>
      <w:r>
        <w:rPr>
          <w:rFonts w:ascii="仿宋_GB2312" w:hAnsi="仿宋" w:eastAsia="仿宋_GB2312" w:cs="仿宋"/>
          <w:snapToGrid w:val="0"/>
          <w:kern w:val="0"/>
          <w:sz w:val="32"/>
          <w:szCs w:val="32"/>
        </w:rPr>
        <w:t>实际，聚焦</w:t>
      </w:r>
      <w:r>
        <w:rPr>
          <w:rFonts w:hint="eastAsia" w:ascii="仿宋_GB2312" w:hAnsi="仿宋" w:eastAsia="仿宋_GB2312" w:cs="仿宋"/>
          <w:snapToGrid w:val="0"/>
          <w:kern w:val="0"/>
          <w:sz w:val="32"/>
          <w:szCs w:val="32"/>
        </w:rPr>
        <w:t>教育</w:t>
      </w:r>
      <w:r>
        <w:rPr>
          <w:rFonts w:ascii="仿宋_GB2312" w:hAnsi="仿宋" w:eastAsia="仿宋_GB2312" w:cs="仿宋"/>
          <w:snapToGrid w:val="0"/>
          <w:kern w:val="0"/>
          <w:sz w:val="32"/>
          <w:szCs w:val="32"/>
        </w:rPr>
        <w:t>教学教</w:t>
      </w:r>
      <w:r>
        <w:rPr>
          <w:rFonts w:ascii="仿宋_GB2312" w:hAnsi="仿宋" w:eastAsia="仿宋_GB2312" w:cs="仿宋"/>
          <w:snapToGrid w:val="0"/>
          <w:kern w:val="0"/>
          <w:sz w:val="32"/>
          <w:szCs w:val="28"/>
        </w:rPr>
        <w:t>研真实问题，选定科学、创新、可操作且具有普适性与推广价值的课题，避免脱离实际、大而空泛的选题。指南内容原则上每三年根据基础教育发展趋势更新完善。</w:t>
      </w:r>
    </w:p>
    <w:p w14:paraId="13DD2309">
      <w:pPr>
        <w:numPr>
          <w:ilvl w:val="0"/>
          <w:numId w:val="1"/>
        </w:num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党建与德育</w:t>
      </w:r>
    </w:p>
    <w:p w14:paraId="01E92C6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1.新时代中小学校、幼儿园党建工作的理论与实践研究</w:t>
      </w:r>
    </w:p>
    <w:p w14:paraId="46ACF12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2.建立健全中小学校党组织领导的校长负责制研究</w:t>
      </w:r>
    </w:p>
    <w:p w14:paraId="0BC85FB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3.中小学校、幼儿园党建质量创优工作研究</w:t>
      </w:r>
    </w:p>
    <w:p w14:paraId="7557D31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4.中小学校、幼儿园党组织建设与党员队伍教育管理研究</w:t>
      </w:r>
    </w:p>
    <w:p w14:paraId="39BAFD7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5.中小学校、幼儿园党建工作质量评价研究</w:t>
      </w:r>
    </w:p>
    <w:p w14:paraId="69325AA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6.中小学校党建与教育教学深度融合研究</w:t>
      </w:r>
    </w:p>
    <w:p w14:paraId="6FA8721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7.中小学生社会主义核心价值观教育实践研究</w:t>
      </w:r>
    </w:p>
    <w:p w14:paraId="02D551F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8.当代青少年理想信念教育研究</w:t>
      </w:r>
    </w:p>
    <w:p w14:paraId="2D707F3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9.中小学中华优秀传统文化教育研究</w:t>
      </w:r>
    </w:p>
    <w:p w14:paraId="4167756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10.中小学校、幼儿园留守儿童教育问题研究</w:t>
      </w:r>
    </w:p>
    <w:p w14:paraId="01DD1E4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11.中小学生家庭教育研究</w:t>
      </w:r>
    </w:p>
    <w:p w14:paraId="6439306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12.中小学生校外教育研究</w:t>
      </w:r>
    </w:p>
    <w:p w14:paraId="4CE4449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13.中小学班主任工作研究</w:t>
      </w:r>
    </w:p>
    <w:p w14:paraId="19A0283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14.中小学文化育人研究</w:t>
      </w:r>
    </w:p>
    <w:p w14:paraId="3D4AA38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15.中小学活动育人研究</w:t>
      </w:r>
    </w:p>
    <w:p w14:paraId="7DCB7B1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16.中小学生志愿服务研究</w:t>
      </w:r>
    </w:p>
    <w:p w14:paraId="3504937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17.中小学生态文明教育实践研究</w:t>
      </w:r>
    </w:p>
    <w:p w14:paraId="5C8AFB4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18.中小学生文明行为习惯培养研究</w:t>
      </w:r>
    </w:p>
    <w:p w14:paraId="47B9986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19.学</w:t>
      </w:r>
      <w:r>
        <w:rPr>
          <w:rFonts w:hint="eastAsia" w:ascii="仿宋_GB2312" w:hAnsi="仿宋" w:eastAsia="仿宋_GB2312" w:cs="仿宋"/>
          <w:snapToGrid w:val="0"/>
          <w:spacing w:val="-6"/>
          <w:kern w:val="0"/>
          <w:sz w:val="32"/>
          <w:szCs w:val="32"/>
        </w:rPr>
        <w:t>科、学校“三全”（全员、全方位、全过程）育人研究</w:t>
      </w:r>
    </w:p>
    <w:p w14:paraId="21E99D7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20.培养小学生规</w:t>
      </w:r>
      <w:r>
        <w:rPr>
          <w:rFonts w:hint="eastAsia" w:ascii="仿宋_GB2312" w:hAnsi="仿宋" w:eastAsia="仿宋_GB2312" w:cs="仿宋"/>
          <w:snapToGrid w:val="0"/>
          <w:spacing w:val="-8"/>
          <w:kern w:val="0"/>
          <w:sz w:val="32"/>
          <w:szCs w:val="32"/>
        </w:rPr>
        <w:t>则意识（或法治观念）的策略研</w:t>
      </w:r>
      <w:r>
        <w:rPr>
          <w:rFonts w:hint="eastAsia" w:ascii="仿宋_GB2312" w:hAnsi="仿宋" w:eastAsia="仿宋_GB2312" w:cs="仿宋"/>
          <w:snapToGrid w:val="0"/>
          <w:kern w:val="0"/>
          <w:sz w:val="32"/>
          <w:szCs w:val="32"/>
        </w:rPr>
        <w:t>究</w:t>
      </w:r>
    </w:p>
    <w:p w14:paraId="42BC4F1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21.小学生诚信品格教育实施策略研究</w:t>
      </w:r>
    </w:p>
    <w:p w14:paraId="4D1765F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22.中小学校、幼儿园各途径立德树人的实践研究</w:t>
      </w:r>
    </w:p>
    <w:p w14:paraId="52AAA6E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23.增强各学科教学育人功能的实践研究</w:t>
      </w:r>
    </w:p>
    <w:p w14:paraId="2E5A7A9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24.各学科德育、各学科育人研究</w:t>
      </w:r>
    </w:p>
    <w:p w14:paraId="0CE70A7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25.中小学课程思政研究</w:t>
      </w:r>
    </w:p>
    <w:p w14:paraId="32058870">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二、学前教育</w:t>
      </w:r>
    </w:p>
    <w:p w14:paraId="792E249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1.《中华人民共和国学前教育法》的理解及对学前教育实践影响的</w:t>
      </w:r>
      <w:r>
        <w:rPr>
          <w:rFonts w:hint="eastAsia" w:ascii="仿宋_GB2312" w:hAnsi="仿宋" w:eastAsia="仿宋_GB2312" w:cs="仿宋"/>
          <w:snapToGrid w:val="0"/>
          <w:color w:val="000000" w:themeColor="text1"/>
          <w:kern w:val="0"/>
          <w:sz w:val="32"/>
          <w:szCs w:val="32"/>
        </w:rPr>
        <w:t xml:space="preserve">研究 </w:t>
      </w:r>
    </w:p>
    <w:p w14:paraId="3986100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2.《中华人民共和国学前教育法》背景下县域幼儿园教师专业发展支持体系构建研究</w:t>
      </w:r>
    </w:p>
    <w:p w14:paraId="20021BD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3.教育强国背景下学前教育师资队伍建设的策略研究</w:t>
      </w:r>
    </w:p>
    <w:p w14:paraId="3DC0B2B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4.教育家精神与学前教育师资培养的研究</w:t>
      </w:r>
    </w:p>
    <w:p w14:paraId="70F0C98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5.县域学前教育普及普惠督导评估机制的研究</w:t>
      </w:r>
    </w:p>
    <w:p w14:paraId="2C66510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6.县</w:t>
      </w:r>
      <w:r>
        <w:rPr>
          <w:rFonts w:hint="eastAsia" w:ascii="仿宋_GB2312" w:hAnsi="仿宋" w:eastAsia="仿宋_GB2312" w:cs="仿宋"/>
          <w:snapToGrid w:val="0"/>
          <w:spacing w:val="-6"/>
          <w:kern w:val="0"/>
          <w:sz w:val="32"/>
          <w:szCs w:val="32"/>
        </w:rPr>
        <w:t>域学前教育普及普惠督导评估中教师队伍保障机制的研</w:t>
      </w:r>
      <w:r>
        <w:rPr>
          <w:rFonts w:hint="eastAsia" w:ascii="仿宋_GB2312" w:hAnsi="仿宋" w:eastAsia="仿宋_GB2312" w:cs="仿宋"/>
          <w:snapToGrid w:val="0"/>
          <w:kern w:val="0"/>
          <w:sz w:val="32"/>
          <w:szCs w:val="32"/>
        </w:rPr>
        <w:t>究</w:t>
      </w:r>
    </w:p>
    <w:p w14:paraId="372CC1E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7.《幼儿园保育教育质量评估指南》的实施研究</w:t>
      </w:r>
    </w:p>
    <w:p w14:paraId="2EC7D5C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8.聚焦班级观察促进幼儿有意义学习的实践研究</w:t>
      </w:r>
    </w:p>
    <w:p w14:paraId="57FE707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9.支持发展普惠托育服务机制体制建设的研究</w:t>
      </w:r>
    </w:p>
    <w:p w14:paraId="4ADE5A9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10.幼儿园园本课程的开发与实施研究</w:t>
      </w:r>
    </w:p>
    <w:p w14:paraId="1466ABB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11.幼儿园课程游戏化的实践与研究</w:t>
      </w:r>
    </w:p>
    <w:p w14:paraId="511C7F3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12.优秀传统文化与幼儿园课程融合的研究</w:t>
      </w:r>
    </w:p>
    <w:p w14:paraId="1F9A77F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13.幼儿园农村资源开发与利用的研究</w:t>
      </w:r>
    </w:p>
    <w:p w14:paraId="598F99A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14.提高乡镇中心幼儿园保教质量路径的研究</w:t>
      </w:r>
    </w:p>
    <w:p w14:paraId="029D067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15.农村留守幼儿心理健康教育的途径与方法研究</w:t>
      </w:r>
    </w:p>
    <w:p w14:paraId="188FC06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16.农村幼儿园教师专业发展的途径与方法研究</w:t>
      </w:r>
    </w:p>
    <w:p w14:paraId="63CFA96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17.幼</w:t>
      </w:r>
      <w:r>
        <w:rPr>
          <w:rFonts w:hint="eastAsia" w:ascii="仿宋_GB2312" w:hAnsi="仿宋" w:eastAsia="仿宋_GB2312" w:cs="仿宋"/>
          <w:snapToGrid w:val="0"/>
          <w:spacing w:val="-6"/>
          <w:kern w:val="0"/>
          <w:sz w:val="32"/>
          <w:szCs w:val="32"/>
        </w:rPr>
        <w:t>儿园新入职教师专业自主发展现状及影响因素分析研究</w:t>
      </w:r>
    </w:p>
    <w:p w14:paraId="6A9AB3A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18.幼儿园自主游戏材料投放的研究</w:t>
      </w:r>
    </w:p>
    <w:p w14:paraId="4ABA757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19.幼儿园区域活动的组织与实施研究</w:t>
      </w:r>
    </w:p>
    <w:p w14:paraId="1E550E1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20.支持幼儿自主游戏的环境创设研究</w:t>
      </w:r>
    </w:p>
    <w:p w14:paraId="6246832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21.幼儿游戏中教师支持性策略的研究</w:t>
      </w:r>
    </w:p>
    <w:p w14:paraId="132EE6F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22.一日活动中教师观察、分析与评价的研究</w:t>
      </w:r>
    </w:p>
    <w:p w14:paraId="77EC602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23.自主游戏中教师支持幼儿深度学习的实践研究</w:t>
      </w:r>
    </w:p>
    <w:p w14:paraId="09F852B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24.幼儿园一日活动优化的实践与研究</w:t>
      </w:r>
    </w:p>
    <w:p w14:paraId="549BFCE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25.幼儿园一日活动中幼儿良好的学习品质培养的研究</w:t>
      </w:r>
    </w:p>
    <w:p w14:paraId="4CC1BEB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26.幼儿园一日活动中有效师幼互动策略的研究</w:t>
      </w:r>
    </w:p>
    <w:p w14:paraId="545D0E9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27.幼儿情感情绪表现及教师回应策略的研究</w:t>
      </w:r>
    </w:p>
    <w:p w14:paraId="12166AF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28.幼儿园一日活动中美育教育的实践研究</w:t>
      </w:r>
    </w:p>
    <w:p w14:paraId="16C3331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29.幼儿审美能力与创造力的发展实践研究</w:t>
      </w:r>
    </w:p>
    <w:p w14:paraId="6A49B6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30.幼儿语言教育与思维能力培养的研究</w:t>
      </w:r>
    </w:p>
    <w:p w14:paraId="2E33BA7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31.幼儿社会性行为发展的特点与培养研究</w:t>
      </w:r>
    </w:p>
    <w:p w14:paraId="7D37382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32.幼儿数学思维能力培养的实践研究</w:t>
      </w:r>
    </w:p>
    <w:p w14:paraId="22C9364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33.幼儿科学领域的学习与教学策略研究</w:t>
      </w:r>
    </w:p>
    <w:p w14:paraId="3651674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34.信息技术与幼儿园领域教学融合的实践研究</w:t>
      </w:r>
    </w:p>
    <w:p w14:paraId="473C618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35.数字赋能幼儿园管理的实践研究</w:t>
      </w:r>
    </w:p>
    <w:p w14:paraId="18C5F30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36.数字赋能家园社协同育人模式的建构研究</w:t>
      </w:r>
    </w:p>
    <w:p w14:paraId="47FF144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37.幼儿园、家庭、社区资源整合与有效运用的研究</w:t>
      </w:r>
    </w:p>
    <w:p w14:paraId="6F21466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38.幼儿园办学集团化管理的实践研究</w:t>
      </w:r>
    </w:p>
    <w:p w14:paraId="4A9BFA8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39.优化幼儿园班级管理策略的研究</w:t>
      </w:r>
    </w:p>
    <w:p w14:paraId="647F2F0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40.幼儿园安全教育与安全管理的研究</w:t>
      </w:r>
    </w:p>
    <w:p w14:paraId="5FF48D1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41.优化幼儿园卫生保健工作的实践研究</w:t>
      </w:r>
    </w:p>
    <w:p w14:paraId="2C1CCA9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42.激发幼儿园内驱推动、服务实践的教研改革研究</w:t>
      </w:r>
    </w:p>
    <w:p w14:paraId="5E432D7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43.区域联动提升教研质量的途径与方法研究</w:t>
      </w:r>
    </w:p>
    <w:p w14:paraId="5E585E4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44.幼儿园园本教研质量提升的实践研究</w:t>
      </w:r>
    </w:p>
    <w:p w14:paraId="2639A8C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45.提升区域学前教育教研质量的研究</w:t>
      </w:r>
    </w:p>
    <w:p w14:paraId="1849966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46.多主体协同推进幼小衔接有序运行的实践研究</w:t>
      </w:r>
    </w:p>
    <w:p w14:paraId="4899EE4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47.家园配合科学做好幼儿入学准备的实践研究</w:t>
      </w:r>
    </w:p>
    <w:p w14:paraId="1496280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48.幼儿园、小学双向衔接联合教研的实践研究</w:t>
      </w:r>
    </w:p>
    <w:p w14:paraId="620E6E3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49.构建多主体协同的幼小衔接支持系统的研究</w:t>
      </w:r>
    </w:p>
    <w:p w14:paraId="57293E3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50.“托幼一体化”背景下2-3岁婴幼儿托育服务课程建设与质量支持体系研究</w:t>
      </w:r>
    </w:p>
    <w:p w14:paraId="2F0524C3">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三、道德与法治</w:t>
      </w:r>
    </w:p>
    <w:p w14:paraId="2E711A2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1.习近平总书记关于思想政治理论课建设重要论述研究</w:t>
      </w:r>
    </w:p>
    <w:p w14:paraId="217CBED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2.习近平法治思想、习近平生态文明思想、习近平文化思想等融入道德与法治教学的研究</w:t>
      </w:r>
    </w:p>
    <w:p w14:paraId="2D45F80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3.教育强国“六大特质”中思政引领力的研究</w:t>
      </w:r>
    </w:p>
    <w:p w14:paraId="16E49D9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w w:val="97"/>
          <w:kern w:val="0"/>
          <w:sz w:val="32"/>
          <w:szCs w:val="32"/>
        </w:rPr>
      </w:pPr>
      <w:r>
        <w:rPr>
          <w:rFonts w:hint="eastAsia" w:ascii="仿宋_GB2312" w:hAnsi="仿宋" w:eastAsia="仿宋_GB2312" w:cs="仿宋"/>
          <w:snapToGrid w:val="0"/>
          <w:color w:val="000000" w:themeColor="text1"/>
          <w:kern w:val="0"/>
          <w:sz w:val="32"/>
          <w:szCs w:val="32"/>
        </w:rPr>
        <w:t>4.</w:t>
      </w:r>
      <w:r>
        <w:rPr>
          <w:rFonts w:hint="eastAsia" w:ascii="仿宋_GB2312" w:hAnsi="仿宋" w:eastAsia="仿宋_GB2312" w:cs="仿宋"/>
          <w:snapToGrid w:val="0"/>
          <w:color w:val="000000" w:themeColor="text1"/>
          <w:w w:val="97"/>
          <w:kern w:val="0"/>
          <w:sz w:val="32"/>
          <w:szCs w:val="32"/>
        </w:rPr>
        <w:t>教</w:t>
      </w:r>
      <w:r>
        <w:rPr>
          <w:rFonts w:hint="eastAsia" w:ascii="仿宋_GB2312" w:hAnsi="仿宋" w:eastAsia="仿宋_GB2312" w:cs="仿宋"/>
          <w:snapToGrid w:val="0"/>
          <w:color w:val="000000" w:themeColor="text1"/>
          <w:spacing w:val="-6"/>
          <w:w w:val="97"/>
          <w:kern w:val="0"/>
          <w:sz w:val="32"/>
          <w:szCs w:val="32"/>
        </w:rPr>
        <w:t>育强国“八大体系”中构建固本铸魂的思想教</w:t>
      </w:r>
      <w:r>
        <w:rPr>
          <w:rFonts w:hint="eastAsia" w:ascii="仿宋_GB2312" w:hAnsi="仿宋" w:eastAsia="仿宋_GB2312" w:cs="仿宋"/>
          <w:snapToGrid w:val="0"/>
          <w:spacing w:val="-6"/>
          <w:w w:val="97"/>
          <w:kern w:val="0"/>
          <w:sz w:val="32"/>
          <w:szCs w:val="32"/>
        </w:rPr>
        <w:t>育体系的研究</w:t>
      </w:r>
    </w:p>
    <w:p w14:paraId="4B9A8EB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5.爱国主义教育融入道德与法治课教学的路径研究</w:t>
      </w:r>
    </w:p>
    <w:p w14:paraId="5C08A5B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6.学校铸牢中华民族共同体意识教育研究</w:t>
      </w:r>
    </w:p>
    <w:p w14:paraId="6429632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7.《道</w:t>
      </w:r>
      <w:r>
        <w:rPr>
          <w:rFonts w:hint="eastAsia" w:ascii="仿宋_GB2312" w:hAnsi="仿宋" w:eastAsia="仿宋_GB2312" w:cs="仿宋"/>
          <w:snapToGrid w:val="0"/>
          <w:spacing w:val="-6"/>
          <w:kern w:val="0"/>
          <w:sz w:val="32"/>
          <w:szCs w:val="32"/>
        </w:rPr>
        <w:t>德与法治课程</w:t>
      </w:r>
      <w:r>
        <w:rPr>
          <w:rFonts w:hint="eastAsia" w:ascii="仿宋_GB2312" w:hAnsi="仿宋" w:eastAsia="仿宋_GB2312" w:cs="仿宋"/>
          <w:snapToGrid w:val="0"/>
          <w:color w:val="000000" w:themeColor="text1"/>
          <w:spacing w:val="-6"/>
          <w:kern w:val="0"/>
          <w:sz w:val="32"/>
          <w:szCs w:val="32"/>
        </w:rPr>
        <w:t>标准（2022年版2025年修订）》实施研究</w:t>
      </w:r>
    </w:p>
    <w:p w14:paraId="6FAA5BB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8.基于课程标准的道德与法治教学设计研究</w:t>
      </w:r>
    </w:p>
    <w:p w14:paraId="1B9870F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9.道德与法治课培育学生核心素养研究</w:t>
      </w:r>
    </w:p>
    <w:p w14:paraId="5083156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10.基于道德与法治培育核心素养的学习方式研究</w:t>
      </w:r>
    </w:p>
    <w:p w14:paraId="3B5257D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11.道德与法治课教学方法与策略的研究</w:t>
      </w:r>
    </w:p>
    <w:p w14:paraId="4D35A31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12.基于情境、问题导向、深度思维、高度参与的道德与法治课堂教学研究</w:t>
      </w:r>
    </w:p>
    <w:p w14:paraId="12FB365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13.新时代道德与法治课教学模式改革创新研究</w:t>
      </w:r>
    </w:p>
    <w:p w14:paraId="4B02C45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14.学科素养导</w:t>
      </w:r>
      <w:r>
        <w:rPr>
          <w:rFonts w:hint="eastAsia" w:ascii="仿宋_GB2312" w:hAnsi="仿宋" w:eastAsia="仿宋_GB2312" w:cs="仿宋"/>
          <w:snapToGrid w:val="0"/>
          <w:color w:val="000000" w:themeColor="text1"/>
          <w:kern w:val="0"/>
          <w:sz w:val="32"/>
          <w:szCs w:val="32"/>
        </w:rPr>
        <w:t>向的道德与法治大单元教学设计研究</w:t>
      </w:r>
    </w:p>
    <w:p w14:paraId="369F800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color w:val="000000" w:themeColor="text1"/>
          <w:kern w:val="0"/>
          <w:sz w:val="32"/>
          <w:szCs w:val="32"/>
        </w:rPr>
        <w:t>15.学科素养导向的道德与法治“教-学-评”一</w:t>
      </w:r>
      <w:r>
        <w:rPr>
          <w:rFonts w:hint="eastAsia" w:ascii="仿宋_GB2312" w:hAnsi="仿宋" w:eastAsia="仿宋_GB2312" w:cs="仿宋"/>
          <w:snapToGrid w:val="0"/>
          <w:kern w:val="0"/>
          <w:sz w:val="32"/>
          <w:szCs w:val="32"/>
        </w:rPr>
        <w:t>致性研究</w:t>
      </w:r>
    </w:p>
    <w:p w14:paraId="22F4EE2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16.初中道德与法治学业水平评价与命题技术研究</w:t>
      </w:r>
    </w:p>
    <w:p w14:paraId="23E1414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17.基</w:t>
      </w:r>
      <w:r>
        <w:rPr>
          <w:rFonts w:hint="eastAsia" w:ascii="仿宋_GB2312" w:hAnsi="仿宋" w:eastAsia="仿宋_GB2312" w:cs="仿宋"/>
          <w:snapToGrid w:val="0"/>
          <w:spacing w:val="-6"/>
          <w:kern w:val="0"/>
          <w:sz w:val="32"/>
          <w:szCs w:val="32"/>
        </w:rPr>
        <w:t>于课程标准与核心素养培养的道德与法治作业设计研究</w:t>
      </w:r>
    </w:p>
    <w:p w14:paraId="0381CD0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18.初中道德与法治学业水平考试试题特点与教学策略研究</w:t>
      </w:r>
    </w:p>
    <w:p w14:paraId="0356F48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19.道德与法治课教学资源利用与开发研究</w:t>
      </w:r>
    </w:p>
    <w:p w14:paraId="71BBC9F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20.运用红色文化资源提升道德与法治教学效果研究</w:t>
      </w:r>
    </w:p>
    <w:p w14:paraId="1A1AD92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21.道德与法治课程培养学生创新意识和实践能力的研究</w:t>
      </w:r>
    </w:p>
    <w:p w14:paraId="0597400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spacing w:val="-8"/>
          <w:kern w:val="0"/>
          <w:sz w:val="32"/>
          <w:szCs w:val="32"/>
        </w:rPr>
      </w:pPr>
      <w:r>
        <w:rPr>
          <w:rFonts w:hint="eastAsia" w:ascii="仿宋_GB2312" w:hAnsi="仿宋" w:eastAsia="仿宋_GB2312" w:cs="仿宋"/>
          <w:snapToGrid w:val="0"/>
          <w:kern w:val="0"/>
          <w:sz w:val="32"/>
          <w:szCs w:val="32"/>
        </w:rPr>
        <w:t>22.</w:t>
      </w:r>
      <w:r>
        <w:rPr>
          <w:rFonts w:hint="eastAsia" w:ascii="仿宋_GB2312" w:hAnsi="仿宋" w:eastAsia="仿宋_GB2312" w:cs="仿宋"/>
          <w:snapToGrid w:val="0"/>
          <w:spacing w:val="-8"/>
          <w:kern w:val="0"/>
          <w:sz w:val="32"/>
          <w:szCs w:val="32"/>
        </w:rPr>
        <w:t>《习近平新时代中国特色社会主义思想学生读本》教学研究</w:t>
      </w:r>
    </w:p>
    <w:p w14:paraId="5F10B9F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23.小学《中华民族大家庭》与初中《中华民族大团结》教学研究</w:t>
      </w:r>
    </w:p>
    <w:p w14:paraId="746CB45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24.道德与法治课教师“六要”素质及提升路径研究</w:t>
      </w:r>
    </w:p>
    <w:p w14:paraId="6D1D7D6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25.初中时事政治教育教学实效性研究</w:t>
      </w:r>
    </w:p>
    <w:p w14:paraId="3FBC5CD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26.小学道德与法</w:t>
      </w:r>
      <w:r>
        <w:rPr>
          <w:rFonts w:hint="eastAsia" w:ascii="仿宋_GB2312" w:hAnsi="仿宋" w:eastAsia="仿宋_GB2312" w:cs="仿宋"/>
          <w:snapToGrid w:val="0"/>
          <w:color w:val="000000" w:themeColor="text1"/>
          <w:kern w:val="0"/>
          <w:sz w:val="32"/>
          <w:szCs w:val="32"/>
        </w:rPr>
        <w:t>治兼职教师有</w:t>
      </w:r>
      <w:r>
        <w:rPr>
          <w:rFonts w:hint="eastAsia" w:ascii="仿宋_GB2312" w:hAnsi="仿宋" w:eastAsia="仿宋_GB2312" w:cs="仿宋"/>
          <w:snapToGrid w:val="0"/>
          <w:kern w:val="0"/>
          <w:sz w:val="32"/>
          <w:szCs w:val="32"/>
        </w:rPr>
        <w:t>效教学行动研究</w:t>
      </w:r>
    </w:p>
    <w:p w14:paraId="4AE5BF5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27.中华优秀传统文化、革命文化、社会主义先进文化融入道德与法治课教学的路径研究</w:t>
      </w:r>
    </w:p>
    <w:p w14:paraId="4E42B67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28.道德与法治小课堂与社会大课堂有机融合研究</w:t>
      </w:r>
    </w:p>
    <w:p w14:paraId="0E94F7A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29.道德与法治在大中小学思政课一体化建设中的策略研究</w:t>
      </w:r>
    </w:p>
    <w:p w14:paraId="4A982A2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30.大中小学思政课一体化建设的现状、困境和对策研究</w:t>
      </w:r>
    </w:p>
    <w:p w14:paraId="300D744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31.一体化推进红色文化“大思政课”建设研究</w:t>
      </w:r>
    </w:p>
    <w:p w14:paraId="76BF6033">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四、语文</w:t>
      </w:r>
    </w:p>
    <w:p w14:paraId="105C0D5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1.小学语文</w:t>
      </w:r>
      <w:r>
        <w:rPr>
          <w:rFonts w:hint="eastAsia" w:ascii="仿宋_GB2312" w:hAnsi="仿宋" w:eastAsia="仿宋_GB2312" w:cs="仿宋"/>
          <w:snapToGrid w:val="0"/>
          <w:color w:val="000000" w:themeColor="text1"/>
          <w:kern w:val="0"/>
          <w:sz w:val="32"/>
          <w:szCs w:val="32"/>
        </w:rPr>
        <w:t>汉语拼</w:t>
      </w:r>
      <w:r>
        <w:rPr>
          <w:rFonts w:hint="eastAsia" w:ascii="仿宋_GB2312" w:hAnsi="仿宋" w:eastAsia="仿宋_GB2312" w:cs="仿宋"/>
          <w:snapToGrid w:val="0"/>
          <w:kern w:val="0"/>
          <w:sz w:val="32"/>
          <w:szCs w:val="32"/>
        </w:rPr>
        <w:t>音教学方法研究</w:t>
      </w:r>
    </w:p>
    <w:p w14:paraId="2AB0FC0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2.小学语文阅读教学方法研究</w:t>
      </w:r>
    </w:p>
    <w:p w14:paraId="3B5CDE5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3.小学语文习作教学方法研究</w:t>
      </w:r>
    </w:p>
    <w:p w14:paraId="7F26381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4.小学语文识字、写字教学方法研究</w:t>
      </w:r>
    </w:p>
    <w:p w14:paraId="759A56A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5.统编小学语文新教材使用研究</w:t>
      </w:r>
    </w:p>
    <w:p w14:paraId="41C2F02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6.小学语文“语言文字积累与梳理”学习任务群的教学实践研究</w:t>
      </w:r>
    </w:p>
    <w:p w14:paraId="5C4667D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7.小</w:t>
      </w:r>
      <w:r>
        <w:rPr>
          <w:rFonts w:hint="eastAsia" w:ascii="仿宋_GB2312" w:hAnsi="仿宋" w:eastAsia="仿宋_GB2312" w:cs="仿宋"/>
          <w:snapToGrid w:val="0"/>
          <w:spacing w:val="-6"/>
          <w:kern w:val="0"/>
          <w:sz w:val="32"/>
          <w:szCs w:val="32"/>
        </w:rPr>
        <w:t>学语文“实用性阅读与交流”学习任务群的教学实践研究</w:t>
      </w:r>
    </w:p>
    <w:p w14:paraId="36C2B04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8.小学语文“文学阅读与创意表达”学习任务群的教学实践研究</w:t>
      </w:r>
    </w:p>
    <w:p w14:paraId="0A2756A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9.小</w:t>
      </w:r>
      <w:r>
        <w:rPr>
          <w:rFonts w:hint="eastAsia" w:ascii="仿宋_GB2312" w:hAnsi="仿宋" w:eastAsia="仿宋_GB2312" w:cs="仿宋"/>
          <w:snapToGrid w:val="0"/>
          <w:spacing w:val="-6"/>
          <w:kern w:val="0"/>
          <w:sz w:val="32"/>
          <w:szCs w:val="32"/>
        </w:rPr>
        <w:t>学语文“思辨性阅读与表达”学习任务群的教学实践研究</w:t>
      </w:r>
    </w:p>
    <w:p w14:paraId="61FEC6D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10.小学语文“整本书阅读”学习任务群的教学实践研究</w:t>
      </w:r>
    </w:p>
    <w:p w14:paraId="608E352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11.小学语文“跨学科学习”学习任务群的教学实践研究</w:t>
      </w:r>
    </w:p>
    <w:p w14:paraId="5B0C3B8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12.小学语文教学与现代信息化教育融合的研究</w:t>
      </w:r>
    </w:p>
    <w:p w14:paraId="4B71FF7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13.小学语文学科和生活融合的教育实践与探索</w:t>
      </w:r>
    </w:p>
    <w:p w14:paraId="2BCE65C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14.指向小初衔接的小学高段阅读教学范式构建与实践</w:t>
      </w:r>
    </w:p>
    <w:p w14:paraId="598996D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15.小学语文教学渗透中华优秀传统文化教育研究</w:t>
      </w:r>
    </w:p>
    <w:p w14:paraId="611C8DC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16.人工智能赋能小学语文课堂教学研究</w:t>
      </w:r>
    </w:p>
    <w:p w14:paraId="5329ED9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17.核心素养引领下的小学语文课堂教学策略研究</w:t>
      </w:r>
    </w:p>
    <w:p w14:paraId="444B2C4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18.“自主、合作、探究”学习方式在小学语文课堂教学中有效应用的实践研究</w:t>
      </w:r>
    </w:p>
    <w:p w14:paraId="2FDD7807">
      <w:pPr>
        <w:tabs>
          <w:tab w:val="left" w:pos="312"/>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19.基于小学语文统编教科书使用的“1+X”单元整合教学策略研究</w:t>
      </w:r>
    </w:p>
    <w:p w14:paraId="3429462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20.小学语文课堂教学培育学生深度学习能力的研究</w:t>
      </w:r>
    </w:p>
    <w:p w14:paraId="7A0B302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21.课程视域下的小学语文作业设计研究与实施</w:t>
      </w:r>
    </w:p>
    <w:p w14:paraId="1475666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22.科学设计小学语文探究性作业、实践性作业的研究</w:t>
      </w:r>
    </w:p>
    <w:p w14:paraId="2535B96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23.小学语文教学中落实“小幼衔接”理念的研究</w:t>
      </w:r>
    </w:p>
    <w:p w14:paraId="624E711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24.“双减”背景下小学语文课堂教学提质增效的研究</w:t>
      </w:r>
    </w:p>
    <w:p w14:paraId="020C563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25.小学语文学科育人与教学实践</w:t>
      </w:r>
    </w:p>
    <w:p w14:paraId="42CD471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26.中学语文教师专业素养提升的理论与实践研究</w:t>
      </w:r>
    </w:p>
    <w:p w14:paraId="4F4773F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27.中学语文课堂教学艺术研究</w:t>
      </w:r>
    </w:p>
    <w:p w14:paraId="4C380F9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28.中学语文教学评价研究</w:t>
      </w:r>
    </w:p>
    <w:p w14:paraId="037F17B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29.中学语文学科核心素养培育策略研究</w:t>
      </w:r>
    </w:p>
    <w:p w14:paraId="55F9F07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30.中学语文新课程实施过程中的问题与对策研究</w:t>
      </w:r>
    </w:p>
    <w:p w14:paraId="4AC6260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31.中学语文整本书阅读教学研究</w:t>
      </w:r>
    </w:p>
    <w:p w14:paraId="099D368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32.高中语文学习任务群教学策略研究</w:t>
      </w:r>
    </w:p>
    <w:p w14:paraId="58DB493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33.高中语文必修课程教学研究</w:t>
      </w:r>
    </w:p>
    <w:p w14:paraId="10F7EDC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34.高中语文选修课程教学研究</w:t>
      </w:r>
    </w:p>
    <w:p w14:paraId="71D94A0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35.“新高考”背景下的高中语文教学策略研究</w:t>
      </w:r>
    </w:p>
    <w:p w14:paraId="48A98A1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36.高中语文写作教学实践研究</w:t>
      </w:r>
    </w:p>
    <w:p w14:paraId="378400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37.现代教育技术在中学语文教学中的应用研究</w:t>
      </w:r>
    </w:p>
    <w:p w14:paraId="40433CC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38.与新课标配套的中学语文新教材研究</w:t>
      </w:r>
    </w:p>
    <w:p w14:paraId="335B3FD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39.高中语文校本课程教学研究</w:t>
      </w:r>
    </w:p>
    <w:p w14:paraId="46A2B78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40.高中语文试题命制策略及信效度研究</w:t>
      </w:r>
    </w:p>
    <w:p w14:paraId="42275D0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41.结构化语文单元教学设计研究</w:t>
      </w:r>
    </w:p>
    <w:p w14:paraId="2DEB84C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42.语文思维训练关键：言语情境、关系探究与整体生成实践研究</w:t>
      </w:r>
    </w:p>
    <w:p w14:paraId="0852E09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43.从“文本中心”“教师中心”转向“学生发展中心”的实践研究</w:t>
      </w:r>
    </w:p>
    <w:p w14:paraId="6731C350">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五、数学</w:t>
      </w:r>
    </w:p>
    <w:p w14:paraId="081B0E2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1</w:t>
      </w:r>
      <w:r>
        <w:rPr>
          <w:rFonts w:hint="eastAsia" w:ascii="仿宋_GB2312" w:hAnsi="仿宋" w:eastAsia="仿宋_GB2312" w:cs="仿宋"/>
          <w:snapToGrid w:val="0"/>
          <w:kern w:val="0"/>
          <w:sz w:val="32"/>
          <w:szCs w:val="32"/>
        </w:rPr>
        <w:t>.《义务教育数学课程标</w:t>
      </w:r>
      <w:r>
        <w:rPr>
          <w:rFonts w:hint="eastAsia" w:ascii="仿宋_GB2312" w:hAnsi="仿宋" w:eastAsia="仿宋_GB2312" w:cs="仿宋"/>
          <w:snapToGrid w:val="0"/>
          <w:color w:val="000000" w:themeColor="text1"/>
          <w:kern w:val="0"/>
          <w:sz w:val="32"/>
          <w:szCs w:val="32"/>
        </w:rPr>
        <w:t>准（2022年版2025年修订）</w:t>
      </w:r>
      <w:r>
        <w:rPr>
          <w:rFonts w:hint="eastAsia" w:ascii="仿宋_GB2312" w:hAnsi="仿宋" w:eastAsia="仿宋_GB2312" w:cs="仿宋"/>
          <w:snapToGrid w:val="0"/>
          <w:kern w:val="0"/>
          <w:sz w:val="32"/>
          <w:szCs w:val="32"/>
        </w:rPr>
        <w:t>》关键问题解决实践研究</w:t>
      </w:r>
    </w:p>
    <w:p w14:paraId="395C6DF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2</w:t>
      </w:r>
      <w:r>
        <w:rPr>
          <w:rFonts w:hint="eastAsia" w:ascii="仿宋_GB2312" w:hAnsi="仿宋" w:eastAsia="仿宋_GB2312" w:cs="仿宋"/>
          <w:snapToGrid w:val="0"/>
          <w:kern w:val="0"/>
          <w:sz w:val="32"/>
          <w:szCs w:val="32"/>
        </w:rPr>
        <w:t>.小学数学教科书使用与再开发研究</w:t>
      </w:r>
    </w:p>
    <w:p w14:paraId="20B5CB6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3</w:t>
      </w:r>
      <w:r>
        <w:rPr>
          <w:rFonts w:hint="eastAsia" w:ascii="仿宋_GB2312" w:hAnsi="仿宋" w:eastAsia="仿宋_GB2312" w:cs="仿宋"/>
          <w:snapToGrid w:val="0"/>
          <w:kern w:val="0"/>
          <w:sz w:val="32"/>
          <w:szCs w:val="32"/>
        </w:rPr>
        <w:t>.核心素养引领下的小学数学课堂教学方式的转变研究</w:t>
      </w:r>
    </w:p>
    <w:p w14:paraId="40A7DF5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w:t>
      </w:r>
      <w:r>
        <w:rPr>
          <w:rFonts w:hint="eastAsia" w:ascii="仿宋_GB2312" w:hAnsi="仿宋" w:eastAsia="仿宋_GB2312" w:cs="仿宋"/>
          <w:snapToGrid w:val="0"/>
          <w:kern w:val="0"/>
          <w:sz w:val="32"/>
          <w:szCs w:val="32"/>
        </w:rPr>
        <w:t>.小学生数学素养发展与评价实践研究</w:t>
      </w:r>
    </w:p>
    <w:p w14:paraId="1D675F4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5</w:t>
      </w:r>
      <w:r>
        <w:rPr>
          <w:rFonts w:hint="eastAsia" w:ascii="仿宋_GB2312" w:hAnsi="仿宋" w:eastAsia="仿宋_GB2312" w:cs="仿宋"/>
          <w:snapToGrid w:val="0"/>
          <w:kern w:val="0"/>
          <w:sz w:val="32"/>
          <w:szCs w:val="32"/>
        </w:rPr>
        <w:t>.小学数学单元整体教学设计实践研究</w:t>
      </w:r>
    </w:p>
    <w:p w14:paraId="19EE996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6</w:t>
      </w:r>
      <w:r>
        <w:rPr>
          <w:rFonts w:hint="eastAsia" w:ascii="仿宋_GB2312" w:hAnsi="仿宋" w:eastAsia="仿宋_GB2312" w:cs="仿宋"/>
          <w:snapToGrid w:val="0"/>
          <w:kern w:val="0"/>
          <w:sz w:val="32"/>
          <w:szCs w:val="32"/>
        </w:rPr>
        <w:t>.小学数学教师专业发展的理论与实践研究</w:t>
      </w:r>
    </w:p>
    <w:p w14:paraId="47536AE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7</w:t>
      </w:r>
      <w:r>
        <w:rPr>
          <w:rFonts w:hint="eastAsia" w:ascii="仿宋_GB2312" w:hAnsi="仿宋" w:eastAsia="仿宋_GB2312" w:cs="仿宋"/>
          <w:snapToGrid w:val="0"/>
          <w:kern w:val="0"/>
          <w:sz w:val="32"/>
          <w:szCs w:val="32"/>
        </w:rPr>
        <w:t>.小学数学课堂教学与现代教育技术整合的研究</w:t>
      </w:r>
    </w:p>
    <w:p w14:paraId="09678BB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8</w:t>
      </w:r>
      <w:r>
        <w:rPr>
          <w:rFonts w:hint="eastAsia" w:ascii="仿宋_GB2312" w:hAnsi="仿宋" w:eastAsia="仿宋_GB2312" w:cs="仿宋"/>
          <w:snapToGrid w:val="0"/>
          <w:kern w:val="0"/>
          <w:sz w:val="32"/>
          <w:szCs w:val="32"/>
        </w:rPr>
        <w:t>.小学数学自主（或合作、探究）学习的有效性研究</w:t>
      </w:r>
    </w:p>
    <w:p w14:paraId="0C23099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9</w:t>
      </w:r>
      <w:r>
        <w:rPr>
          <w:rFonts w:hint="eastAsia" w:ascii="仿宋_GB2312" w:hAnsi="仿宋" w:eastAsia="仿宋_GB2312" w:cs="仿宋"/>
          <w:snapToGrid w:val="0"/>
          <w:kern w:val="0"/>
          <w:sz w:val="32"/>
          <w:szCs w:val="32"/>
        </w:rPr>
        <w:t>.小学数学课堂教学质量评价方式创新研究</w:t>
      </w:r>
    </w:p>
    <w:p w14:paraId="1A9617C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10</w:t>
      </w:r>
      <w:r>
        <w:rPr>
          <w:rFonts w:hint="eastAsia" w:ascii="仿宋_GB2312" w:hAnsi="仿宋" w:eastAsia="仿宋_GB2312" w:cs="仿宋"/>
          <w:snapToGrid w:val="0"/>
          <w:kern w:val="0"/>
          <w:sz w:val="32"/>
          <w:szCs w:val="32"/>
        </w:rPr>
        <w:t>.小学数学课程资源开发与利用研究</w:t>
      </w:r>
    </w:p>
    <w:p w14:paraId="0C72C5A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11</w:t>
      </w:r>
      <w:r>
        <w:rPr>
          <w:rFonts w:hint="eastAsia" w:ascii="仿宋_GB2312" w:hAnsi="仿宋" w:eastAsia="仿宋_GB2312" w:cs="仿宋"/>
          <w:snapToGrid w:val="0"/>
          <w:kern w:val="0"/>
          <w:sz w:val="32"/>
          <w:szCs w:val="32"/>
        </w:rPr>
        <w:t>.小学数学校本教研方法创新研究</w:t>
      </w:r>
    </w:p>
    <w:p w14:paraId="6D8A28E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12.小学生数学阅读理解能力提升研究</w:t>
      </w:r>
    </w:p>
    <w:p w14:paraId="652A7DD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13.小学数学课堂教学促进深度学习发生的研究</w:t>
      </w:r>
    </w:p>
    <w:p w14:paraId="1CC42D9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14.小学生数学学习力发展的课堂教学研究</w:t>
      </w:r>
    </w:p>
    <w:p w14:paraId="5EAFB80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15.小学数学关键课教学案例研究</w:t>
      </w:r>
    </w:p>
    <w:p w14:paraId="45A879B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16.小学数学课标、教材对比研究</w:t>
      </w:r>
    </w:p>
    <w:p w14:paraId="1B22ECB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17.小学生数学学业质量评价研究</w:t>
      </w:r>
    </w:p>
    <w:p w14:paraId="7D04122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18.小学数学主题式、项目化学习教学资源案例开发研究</w:t>
      </w:r>
    </w:p>
    <w:p w14:paraId="169B6BF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19.小学数学跨学科融合及课程育人方式创新研究</w:t>
      </w:r>
    </w:p>
    <w:p w14:paraId="15E2A96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20.信息化背景下小学数学双线融合教学研究</w:t>
      </w:r>
    </w:p>
    <w:p w14:paraId="326B9CB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21.“双减”背景下小学数学教学提质增效策略研究</w:t>
      </w:r>
    </w:p>
    <w:p w14:paraId="6CF5FEE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22.“双减”背景下小学数学作业设计方式创新研究与实践</w:t>
      </w:r>
    </w:p>
    <w:p w14:paraId="73807D3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23</w:t>
      </w:r>
      <w:r>
        <w:rPr>
          <w:rFonts w:hint="eastAsia" w:ascii="仿宋_GB2312" w:hAnsi="仿宋" w:eastAsia="仿宋_GB2312" w:cs="仿宋"/>
          <w:snapToGrid w:val="0"/>
          <w:color w:val="000000" w:themeColor="text1"/>
          <w:kern w:val="0"/>
          <w:sz w:val="32"/>
          <w:szCs w:val="32"/>
        </w:rPr>
        <w:t>.幼小、小初、初高中数学衔接教学策略与实践研究</w:t>
      </w:r>
    </w:p>
    <w:p w14:paraId="27BAA6D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24.小学数学资优生发现与培养策略研究</w:t>
      </w:r>
    </w:p>
    <w:p w14:paraId="693E43B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25.小学数学传统文化融入教学的实践研究</w:t>
      </w:r>
    </w:p>
    <w:p w14:paraId="6B9FB7D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26.小学数学课后服务资源开发与利用</w:t>
      </w:r>
    </w:p>
    <w:p w14:paraId="1D1FEA0C">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27</w:t>
      </w:r>
      <w:r>
        <w:rPr>
          <w:rFonts w:hint="eastAsia" w:ascii="仿宋_GB2312" w:hAnsi="仿宋" w:eastAsia="仿宋_GB2312" w:cs="仿宋"/>
          <w:snapToGrid w:val="0"/>
          <w:color w:val="000000" w:themeColor="text1"/>
          <w:kern w:val="0"/>
          <w:sz w:val="32"/>
          <w:szCs w:val="32"/>
        </w:rPr>
        <w:t xml:space="preserve">.初中数学基于《义务教育数学课程标准（2022年版2025年修订）》的学业评价研究 </w:t>
      </w:r>
    </w:p>
    <w:p w14:paraId="051ADAD4">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28.初中数学新教材教学研究</w:t>
      </w:r>
    </w:p>
    <w:p w14:paraId="5D362232">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29</w:t>
      </w:r>
      <w:r>
        <w:rPr>
          <w:rFonts w:hint="eastAsia" w:ascii="仿宋_GB2312" w:hAnsi="仿宋" w:eastAsia="仿宋_GB2312" w:cs="仿宋"/>
          <w:snapToGrid w:val="0"/>
          <w:kern w:val="0"/>
          <w:sz w:val="32"/>
          <w:szCs w:val="32"/>
        </w:rPr>
        <w:t>.初中数学项目式学习课程开发与实践研究</w:t>
      </w:r>
    </w:p>
    <w:p w14:paraId="1362CC3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30</w:t>
      </w:r>
      <w:r>
        <w:rPr>
          <w:rFonts w:hint="eastAsia" w:ascii="仿宋_GB2312" w:hAnsi="仿宋" w:eastAsia="仿宋_GB2312" w:cs="仿宋"/>
          <w:snapToGrid w:val="0"/>
          <w:kern w:val="0"/>
          <w:sz w:val="32"/>
          <w:szCs w:val="32"/>
        </w:rPr>
        <w:t>.初中数学“综合与实践”领域教学实践研究</w:t>
      </w:r>
    </w:p>
    <w:p w14:paraId="3A3D0A46">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31</w:t>
      </w:r>
      <w:r>
        <w:rPr>
          <w:rFonts w:hint="eastAsia" w:ascii="仿宋_GB2312" w:hAnsi="仿宋" w:eastAsia="仿宋_GB2312" w:cs="仿宋"/>
          <w:snapToGrid w:val="0"/>
          <w:kern w:val="0"/>
          <w:sz w:val="32"/>
          <w:szCs w:val="32"/>
        </w:rPr>
        <w:t>.初中数学“综合与实践”领域的评价研究</w:t>
      </w:r>
    </w:p>
    <w:p w14:paraId="6F8D453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32</w:t>
      </w:r>
      <w:r>
        <w:rPr>
          <w:rFonts w:hint="eastAsia" w:ascii="仿宋_GB2312" w:hAnsi="仿宋" w:eastAsia="仿宋_GB2312" w:cs="仿宋"/>
          <w:snapToGrid w:val="0"/>
          <w:kern w:val="0"/>
          <w:sz w:val="32"/>
          <w:szCs w:val="32"/>
        </w:rPr>
        <w:t>.初中数学学业质量评价研究</w:t>
      </w:r>
    </w:p>
    <w:p w14:paraId="79C03696">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33</w:t>
      </w:r>
      <w:r>
        <w:rPr>
          <w:rFonts w:hint="eastAsia" w:ascii="仿宋_GB2312" w:hAnsi="仿宋" w:eastAsia="仿宋_GB2312" w:cs="仿宋"/>
          <w:snapToGrid w:val="0"/>
          <w:kern w:val="0"/>
          <w:sz w:val="32"/>
          <w:szCs w:val="32"/>
        </w:rPr>
        <w:t>.“三新”背景下的高中数学考试评价研究</w:t>
      </w:r>
    </w:p>
    <w:p w14:paraId="5920D71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34</w:t>
      </w:r>
      <w:r>
        <w:rPr>
          <w:rFonts w:hint="eastAsia" w:ascii="仿宋_GB2312" w:hAnsi="仿宋" w:eastAsia="仿宋_GB2312" w:cs="仿宋"/>
          <w:snapToGrid w:val="0"/>
          <w:kern w:val="0"/>
          <w:sz w:val="32"/>
          <w:szCs w:val="32"/>
        </w:rPr>
        <w:t>.初中生数学学习效果与作业量的相关性研究</w:t>
      </w:r>
    </w:p>
    <w:p w14:paraId="3285001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kern w:val="0"/>
          <w:sz w:val="32"/>
          <w:szCs w:val="32"/>
        </w:rPr>
        <w:t>35</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color w:val="000000" w:themeColor="text1"/>
          <w:kern w:val="0"/>
          <w:sz w:val="32"/>
          <w:szCs w:val="32"/>
        </w:rPr>
        <w:t>“双减”背景下基于素养导向的初中数学作业设计研究</w:t>
      </w:r>
    </w:p>
    <w:p w14:paraId="304A7EAF">
      <w:pPr>
        <w:overflowPunct w:val="0"/>
        <w:autoSpaceDE w:val="0"/>
        <w:autoSpaceDN w:val="0"/>
        <w:adjustRightInd w:val="0"/>
        <w:snapToGrid w:val="0"/>
        <w:spacing w:line="585" w:lineRule="exact"/>
        <w:ind w:firstLine="640" w:firstLineChars="200"/>
        <w:textAlignment w:val="baseline"/>
        <w:rPr>
          <w:rFonts w:ascii="仿宋_GB2312" w:hAnsi="仿宋" w:eastAsia="仿宋_GB2312"/>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36</w:t>
      </w:r>
      <w:r>
        <w:rPr>
          <w:rFonts w:hint="eastAsia" w:ascii="仿宋_GB2312" w:hAnsi="仿宋" w:eastAsia="仿宋_GB2312" w:cs="仿宋"/>
          <w:snapToGrid w:val="0"/>
          <w:color w:val="000000" w:themeColor="text1"/>
          <w:kern w:val="0"/>
          <w:sz w:val="32"/>
          <w:szCs w:val="32"/>
        </w:rPr>
        <w:t>.指向“高阶思维”培养的中学数学教学模式与实践研究</w:t>
      </w:r>
    </w:p>
    <w:p w14:paraId="1563C4A5">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37</w:t>
      </w:r>
      <w:r>
        <w:rPr>
          <w:rFonts w:hint="eastAsia" w:ascii="仿宋_GB2312" w:hAnsi="仿宋" w:eastAsia="仿宋_GB2312" w:cs="仿宋"/>
          <w:snapToGrid w:val="0"/>
          <w:color w:val="000000" w:themeColor="text1"/>
          <w:kern w:val="0"/>
          <w:sz w:val="32"/>
          <w:szCs w:val="32"/>
        </w:rPr>
        <w:t>.初中生数学学习效果与周课时量的相关性研究</w:t>
      </w:r>
    </w:p>
    <w:p w14:paraId="24A17B4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38</w:t>
      </w:r>
      <w:r>
        <w:rPr>
          <w:rFonts w:hint="eastAsia" w:ascii="仿宋_GB2312" w:hAnsi="仿宋" w:eastAsia="仿宋_GB2312" w:cs="仿宋"/>
          <w:snapToGrid w:val="0"/>
          <w:color w:val="000000" w:themeColor="text1"/>
          <w:kern w:val="0"/>
          <w:sz w:val="32"/>
          <w:szCs w:val="32"/>
        </w:rPr>
        <w:t>.中学数学校本教研理论与实践研究</w:t>
      </w:r>
    </w:p>
    <w:p w14:paraId="3E892D1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39</w:t>
      </w:r>
      <w:r>
        <w:rPr>
          <w:rFonts w:hint="eastAsia" w:ascii="仿宋_GB2312" w:hAnsi="仿宋" w:eastAsia="仿宋_GB2312" w:cs="仿宋"/>
          <w:snapToGrid w:val="0"/>
          <w:color w:val="000000" w:themeColor="text1"/>
          <w:kern w:val="0"/>
          <w:sz w:val="32"/>
          <w:szCs w:val="32"/>
        </w:rPr>
        <w:t>.新教材教学实践中的问题与对策研究</w:t>
      </w:r>
    </w:p>
    <w:p w14:paraId="132CA86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40</w:t>
      </w:r>
      <w:r>
        <w:rPr>
          <w:rFonts w:hint="eastAsia" w:ascii="仿宋_GB2312" w:hAnsi="仿宋" w:eastAsia="仿宋_GB2312" w:cs="仿宋"/>
          <w:snapToGrid w:val="0"/>
          <w:color w:val="000000" w:themeColor="text1"/>
          <w:kern w:val="0"/>
          <w:sz w:val="32"/>
          <w:szCs w:val="32"/>
        </w:rPr>
        <w:t>.高中数学必修（选择性必修、选修）课程教学实验研究</w:t>
      </w:r>
    </w:p>
    <w:p w14:paraId="709C4189">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41</w:t>
      </w:r>
      <w:r>
        <w:rPr>
          <w:rFonts w:hint="eastAsia" w:ascii="仿宋_GB2312" w:hAnsi="仿宋" w:eastAsia="仿宋_GB2312" w:cs="仿宋"/>
          <w:snapToGrid w:val="0"/>
          <w:color w:val="000000" w:themeColor="text1"/>
          <w:kern w:val="0"/>
          <w:sz w:val="32"/>
          <w:szCs w:val="32"/>
        </w:rPr>
        <w:t>.新高考背景下高三复习的教学策略与实践研究</w:t>
      </w:r>
    </w:p>
    <w:p w14:paraId="448E1BE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42</w:t>
      </w:r>
      <w:r>
        <w:rPr>
          <w:rFonts w:hint="eastAsia" w:ascii="仿宋_GB2312" w:hAnsi="仿宋" w:eastAsia="仿宋_GB2312" w:cs="仿宋"/>
          <w:snapToGrid w:val="0"/>
          <w:kern w:val="0"/>
          <w:sz w:val="32"/>
          <w:szCs w:val="32"/>
        </w:rPr>
        <w:t>.促进学生“数学活动经验”积累的实践研究</w:t>
      </w:r>
    </w:p>
    <w:p w14:paraId="5B75ADD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43</w:t>
      </w:r>
      <w:r>
        <w:rPr>
          <w:rFonts w:hint="eastAsia" w:ascii="仿宋_GB2312" w:hAnsi="仿宋" w:eastAsia="仿宋_GB2312" w:cs="仿宋"/>
          <w:snapToGrid w:val="0"/>
          <w:kern w:val="0"/>
          <w:sz w:val="32"/>
          <w:szCs w:val="32"/>
        </w:rPr>
        <w:t>.中学数学阅读教育的实践研究</w:t>
      </w:r>
    </w:p>
    <w:p w14:paraId="5BA4B86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44</w:t>
      </w:r>
      <w:r>
        <w:rPr>
          <w:rFonts w:hint="eastAsia" w:ascii="仿宋_GB2312" w:hAnsi="仿宋" w:eastAsia="仿宋_GB2312" w:cs="仿宋"/>
          <w:snapToGrid w:val="0"/>
          <w:kern w:val="0"/>
          <w:sz w:val="32"/>
          <w:szCs w:val="32"/>
        </w:rPr>
        <w:t>.中学数学教材的整体把握与局部处理关系的研究</w:t>
      </w:r>
    </w:p>
    <w:p w14:paraId="1A5C790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45</w:t>
      </w:r>
      <w:r>
        <w:rPr>
          <w:rFonts w:hint="eastAsia" w:ascii="仿宋_GB2312" w:hAnsi="仿宋" w:eastAsia="仿宋_GB2312" w:cs="仿宋"/>
          <w:snapToGrid w:val="0"/>
          <w:kern w:val="0"/>
          <w:sz w:val="32"/>
          <w:szCs w:val="32"/>
        </w:rPr>
        <w:t>.中学生学习数学的心理研究</w:t>
      </w:r>
    </w:p>
    <w:p w14:paraId="24953C0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46</w:t>
      </w:r>
      <w:r>
        <w:rPr>
          <w:rFonts w:hint="eastAsia" w:ascii="仿宋_GB2312" w:hAnsi="仿宋" w:eastAsia="仿宋_GB2312" w:cs="仿宋"/>
          <w:snapToGrid w:val="0"/>
          <w:kern w:val="0"/>
          <w:sz w:val="32"/>
          <w:szCs w:val="32"/>
        </w:rPr>
        <w:t>.中学数学学生学习困难及其克服的研究</w:t>
      </w:r>
    </w:p>
    <w:p w14:paraId="655D386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47</w:t>
      </w:r>
      <w:r>
        <w:rPr>
          <w:rFonts w:hint="eastAsia" w:ascii="仿宋_GB2312" w:hAnsi="仿宋" w:eastAsia="仿宋_GB2312" w:cs="仿宋"/>
          <w:snapToGrid w:val="0"/>
          <w:kern w:val="0"/>
          <w:sz w:val="32"/>
          <w:szCs w:val="32"/>
        </w:rPr>
        <w:t>.中学数学学生学习水平的研究</w:t>
      </w:r>
    </w:p>
    <w:p w14:paraId="339F2C9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48</w:t>
      </w:r>
      <w:r>
        <w:rPr>
          <w:rFonts w:hint="eastAsia" w:ascii="仿宋_GB2312" w:hAnsi="仿宋" w:eastAsia="仿宋_GB2312" w:cs="仿宋"/>
          <w:snapToGrid w:val="0"/>
          <w:kern w:val="0"/>
          <w:sz w:val="32"/>
          <w:szCs w:val="32"/>
        </w:rPr>
        <w:t>.中学数学学科核心素养与人的整体素养关系的研究</w:t>
      </w:r>
    </w:p>
    <w:p w14:paraId="41396C9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snapToGrid w:val="0"/>
          <w:kern w:val="0"/>
          <w:sz w:val="32"/>
          <w:szCs w:val="32"/>
        </w:rPr>
        <w:t>49</w:t>
      </w:r>
      <w:r>
        <w:rPr>
          <w:rFonts w:hint="eastAsia" w:ascii="仿宋_GB2312" w:hAnsi="仿宋" w:eastAsia="仿宋_GB2312" w:cs="仿宋"/>
          <w:snapToGrid w:val="0"/>
          <w:kern w:val="0"/>
          <w:sz w:val="32"/>
          <w:szCs w:val="32"/>
        </w:rPr>
        <w:t>.中学数学教育中“立德树人”落实途径的研究</w:t>
      </w:r>
    </w:p>
    <w:p w14:paraId="57EEAF4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kern w:val="0"/>
          <w:sz w:val="32"/>
          <w:szCs w:val="32"/>
        </w:rPr>
        <w:t>50</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color w:val="000000" w:themeColor="text1"/>
          <w:kern w:val="0"/>
          <w:sz w:val="32"/>
          <w:szCs w:val="32"/>
        </w:rPr>
        <w:t>“双新”背景下数学课堂提质增效的实践路径与评价研究</w:t>
      </w:r>
    </w:p>
    <w:p w14:paraId="15FCCD0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51.基于“教材母题变式”的中学数学课堂教学实践研究</w:t>
      </w:r>
    </w:p>
    <w:p w14:paraId="7E41114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 xml:space="preserve">52.中学数学单元整体教学的实践研究 </w:t>
      </w:r>
    </w:p>
    <w:p w14:paraId="4EBD557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53.中学数学课标与教材的对接研究</w:t>
      </w:r>
    </w:p>
    <w:p w14:paraId="12F04C3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54.中学数学教师专业发展问题研究</w:t>
      </w:r>
    </w:p>
    <w:p w14:paraId="33965E5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55.中学数学课堂教学评价的实践研究</w:t>
      </w:r>
    </w:p>
    <w:p w14:paraId="7B2489E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56.中学生数学学习的评价研究</w:t>
      </w:r>
    </w:p>
    <w:p w14:paraId="4A279B1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57.中学数学教学方式优化的策略研究</w:t>
      </w:r>
    </w:p>
    <w:p w14:paraId="4A060BF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58.中考、高考数学命题中学科核心素养的考查方式及其对教学的反拨作用研究</w:t>
      </w:r>
    </w:p>
    <w:p w14:paraId="5F5AC30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59.</w:t>
      </w:r>
      <w:r>
        <w:rPr>
          <w:rFonts w:hint="eastAsia" w:ascii="仿宋_GB2312" w:hAnsi="仿宋" w:eastAsia="仿宋_GB2312" w:cs="仿宋"/>
          <w:snapToGrid w:val="0"/>
          <w:color w:val="000000" w:themeColor="text1"/>
          <w:kern w:val="0"/>
          <w:sz w:val="32"/>
          <w:szCs w:val="32"/>
        </w:rPr>
        <w:t>中学数学探究（数学建模）活动课程的实践研究</w:t>
      </w:r>
    </w:p>
    <w:p w14:paraId="26BE902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60.中学数学教学资源的开发与利用研究</w:t>
      </w:r>
    </w:p>
    <w:p w14:paraId="76EF478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61</w:t>
      </w:r>
      <w:r>
        <w:rPr>
          <w:rFonts w:hint="eastAsia" w:ascii="仿宋_GB2312" w:hAnsi="仿宋" w:eastAsia="仿宋_GB2312" w:cs="仿宋"/>
          <w:snapToGrid w:val="0"/>
          <w:color w:val="000000" w:themeColor="text1"/>
          <w:kern w:val="0"/>
          <w:sz w:val="32"/>
          <w:szCs w:val="32"/>
        </w:rPr>
        <w:t>.中学数学研究性学习的理论与实践研究</w:t>
      </w:r>
    </w:p>
    <w:p w14:paraId="6EF74F2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62</w:t>
      </w:r>
      <w:r>
        <w:rPr>
          <w:rFonts w:hint="eastAsia" w:ascii="仿宋_GB2312" w:hAnsi="仿宋" w:eastAsia="仿宋_GB2312" w:cs="仿宋"/>
          <w:snapToGrid w:val="0"/>
          <w:color w:val="000000" w:themeColor="text1"/>
          <w:kern w:val="0"/>
          <w:sz w:val="32"/>
          <w:szCs w:val="32"/>
        </w:rPr>
        <w:t>.中学数学教学中渗透数学文化教育的实践研究</w:t>
      </w:r>
    </w:p>
    <w:p w14:paraId="0732447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63.</w:t>
      </w:r>
      <w:r>
        <w:rPr>
          <w:rFonts w:hint="eastAsia" w:ascii="仿宋_GB2312" w:hAnsi="仿宋" w:eastAsia="仿宋_GB2312" w:cs="仿宋"/>
          <w:snapToGrid w:val="0"/>
          <w:color w:val="000000" w:themeColor="text1"/>
          <w:kern w:val="0"/>
          <w:sz w:val="32"/>
          <w:szCs w:val="32"/>
        </w:rPr>
        <w:t>人工智能赋能中学数学教学的实践研究</w:t>
      </w:r>
    </w:p>
    <w:p w14:paraId="20B2BB71">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bCs/>
          <w:snapToGrid w:val="0"/>
          <w:color w:val="000000" w:themeColor="text1"/>
          <w:kern w:val="0"/>
          <w:sz w:val="32"/>
          <w:szCs w:val="32"/>
        </w:rPr>
        <w:t>六、</w:t>
      </w:r>
      <w:r>
        <w:rPr>
          <w:rFonts w:hint="eastAsia" w:ascii="黑体" w:hAnsi="黑体" w:eastAsia="黑体" w:cs="黑体"/>
          <w:bCs/>
          <w:snapToGrid w:val="0"/>
          <w:color w:val="000000" w:themeColor="text1"/>
          <w:kern w:val="0"/>
          <w:sz w:val="32"/>
          <w:szCs w:val="32"/>
        </w:rPr>
        <w:t>英</w:t>
      </w:r>
      <w:r>
        <w:rPr>
          <w:rFonts w:hint="eastAsia" w:ascii="黑体" w:hAnsi="黑体" w:eastAsia="黑体" w:cs="黑体"/>
          <w:snapToGrid w:val="0"/>
          <w:color w:val="000000" w:themeColor="text1"/>
          <w:kern w:val="0"/>
          <w:sz w:val="32"/>
          <w:szCs w:val="32"/>
        </w:rPr>
        <w:t>语</w:t>
      </w:r>
    </w:p>
    <w:p w14:paraId="61DBB79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1.义务教育阶段英语课程标准理念落地的实践研究</w:t>
      </w:r>
    </w:p>
    <w:p w14:paraId="3D92856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2.义务教育阶段英语新教材教学研究</w:t>
      </w:r>
    </w:p>
    <w:p w14:paraId="61DA8A0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color w:val="000000" w:themeColor="text1"/>
          <w:kern w:val="0"/>
          <w:sz w:val="32"/>
          <w:szCs w:val="32"/>
        </w:rPr>
        <w:t>3.“双减”背景下英语作业设计与实</w:t>
      </w:r>
      <w:r>
        <w:rPr>
          <w:rFonts w:hint="eastAsia" w:ascii="仿宋_GB2312" w:hAnsi="仿宋" w:eastAsia="仿宋_GB2312" w:cs="仿宋"/>
          <w:snapToGrid w:val="0"/>
          <w:kern w:val="0"/>
          <w:sz w:val="32"/>
          <w:szCs w:val="32"/>
        </w:rPr>
        <w:t>施研究</w:t>
      </w:r>
    </w:p>
    <w:p w14:paraId="5042DD3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4.英语单元整体教学设计与实施研究</w:t>
      </w:r>
    </w:p>
    <w:p w14:paraId="4E2C7419">
      <w:pPr>
        <w:overflowPunct w:val="0"/>
        <w:spacing w:line="585" w:lineRule="exact"/>
        <w:ind w:firstLine="640" w:firstLineChars="200"/>
        <w:outlineLvl w:val="1"/>
        <w:rPr>
          <w:rFonts w:ascii="仿宋_GB2312" w:hAnsi="仿宋" w:eastAsia="仿宋_GB2312" w:cs="仿宋"/>
          <w:sz w:val="32"/>
          <w:szCs w:val="32"/>
        </w:rPr>
      </w:pPr>
      <w:r>
        <w:rPr>
          <w:rFonts w:hint="eastAsia" w:ascii="仿宋_GB2312" w:hAnsi="仿宋" w:eastAsia="仿宋_GB2312" w:cs="仿宋"/>
          <w:kern w:val="0"/>
          <w:sz w:val="32"/>
          <w:szCs w:val="32"/>
        </w:rPr>
        <w:t>5.英语“教-学-评”一体化设计与实施实践研究</w:t>
      </w:r>
    </w:p>
    <w:p w14:paraId="619080D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6.基于思维品质培养的英语课堂教学活动设计与实施研究</w:t>
      </w:r>
    </w:p>
    <w:p w14:paraId="7070E7F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7.在英语学科中培养学生跨文化意识的实践研究</w:t>
      </w:r>
    </w:p>
    <w:p w14:paraId="6F3815C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8.提升学生英语学习能力的实践研究</w:t>
      </w:r>
    </w:p>
    <w:p w14:paraId="15CEA1C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9.</w:t>
      </w:r>
      <w:r>
        <w:rPr>
          <w:rFonts w:hint="eastAsia" w:ascii="仿宋_GB2312" w:hAnsi="仿宋" w:eastAsia="仿宋_GB2312" w:cs="仿宋"/>
          <w:snapToGrid w:val="0"/>
          <w:color w:val="000000" w:themeColor="text1"/>
          <w:kern w:val="0"/>
          <w:sz w:val="32"/>
          <w:szCs w:val="32"/>
        </w:rPr>
        <w:t>素养导向的英语评价与测试研究</w:t>
      </w:r>
    </w:p>
    <w:p w14:paraId="00CC0BA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10.义务教育阶段英语课外活动课程设计与实施研究</w:t>
      </w:r>
    </w:p>
    <w:p w14:paraId="4277AC9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11.英语学习活动观在英语教学中有效运用的实践研究</w:t>
      </w:r>
    </w:p>
    <w:p w14:paraId="143C30A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12.农村中小学英语教育教学现状及发展研究</w:t>
      </w:r>
    </w:p>
    <w:p w14:paraId="36C86DB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13.当前英语课堂教学存在的问题及对策研究</w:t>
      </w:r>
    </w:p>
    <w:p w14:paraId="1AD8F33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14.中小学生英语学习障碍、成因及对策实证研究</w:t>
      </w:r>
    </w:p>
    <w:p w14:paraId="43E8A56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15.中小学英语教师专业素养提升的理论与实践研究</w:t>
      </w:r>
    </w:p>
    <w:p w14:paraId="320CBB8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16.中小学英语教师教育与培训方式、内容及其效果研究</w:t>
      </w:r>
    </w:p>
    <w:p w14:paraId="36B2C83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17.中小学英语课堂观察与监测策略的研究</w:t>
      </w:r>
    </w:p>
    <w:p w14:paraId="76B040F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18.人工智能在中小学英语教育教学中的应用研究</w:t>
      </w:r>
    </w:p>
    <w:p w14:paraId="06975B1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19.英语校本课程的开发与创新实践研究</w:t>
      </w:r>
    </w:p>
    <w:p w14:paraId="509B08E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20.英语学习策略的训练与运用研究</w:t>
      </w:r>
    </w:p>
    <w:p w14:paraId="7C40C79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21.中小学英语分层教育教学研究</w:t>
      </w:r>
    </w:p>
    <w:p w14:paraId="7F10094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22.创新课堂活动发展英语学科核心素养实践研究</w:t>
      </w:r>
    </w:p>
    <w:p w14:paraId="3DF349A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23.基于信息化的英语课堂教学多元评价研究</w:t>
      </w:r>
    </w:p>
    <w:p w14:paraId="641D5A4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24.提升英语校本教研质量的理论与实证研究</w:t>
      </w:r>
    </w:p>
    <w:p w14:paraId="3CD02CE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25.提升学生英语学习能力的理论与运用研究</w:t>
      </w:r>
    </w:p>
    <w:p w14:paraId="09E834F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26.英语教与学特殊个案研究</w:t>
      </w:r>
    </w:p>
    <w:p w14:paraId="27BE491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shd w:val="clear" w:color="auto" w:fill="FFFFFF"/>
        </w:rPr>
        <w:t>27.互联网英</w:t>
      </w:r>
      <w:r>
        <w:rPr>
          <w:rFonts w:hint="eastAsia" w:ascii="仿宋_GB2312" w:hAnsi="仿宋" w:eastAsia="仿宋_GB2312" w:cs="仿宋"/>
          <w:snapToGrid w:val="0"/>
          <w:color w:val="000000" w:themeColor="text1"/>
          <w:kern w:val="0"/>
          <w:sz w:val="32"/>
          <w:szCs w:val="32"/>
        </w:rPr>
        <w:t>语学习平台资源建设与使用研究</w:t>
      </w:r>
    </w:p>
    <w:p w14:paraId="1FE7EF1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28.数智化背景下学生跨文化共情力培养的外语教学研究</w:t>
      </w:r>
    </w:p>
    <w:p w14:paraId="16836B5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29.英语高效课堂实践研究</w:t>
      </w:r>
    </w:p>
    <w:p w14:paraId="2352C251">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七、思想政治</w:t>
      </w:r>
    </w:p>
    <w:p w14:paraId="2C41963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1.思想政治课</w:t>
      </w:r>
      <w:r>
        <w:rPr>
          <w:rFonts w:hint="eastAsia" w:ascii="仿宋_GB2312" w:hAnsi="仿宋" w:eastAsia="仿宋_GB2312" w:cs="仿宋"/>
          <w:snapToGrid w:val="0"/>
          <w:color w:val="000000" w:themeColor="text1"/>
          <w:kern w:val="0"/>
          <w:sz w:val="32"/>
          <w:szCs w:val="32"/>
        </w:rPr>
        <w:t>与红色基因传承的关联和途径研究</w:t>
      </w:r>
    </w:p>
    <w:p w14:paraId="02B5912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2.高中思想政治课程资源开发研究</w:t>
      </w:r>
    </w:p>
    <w:p w14:paraId="19E7488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3.新高考背景下思想政治课程实施问题研究</w:t>
      </w:r>
    </w:p>
    <w:p w14:paraId="1988E78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4.高中思想政治课教学艺术研究</w:t>
      </w:r>
    </w:p>
    <w:p w14:paraId="293BF12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5.高中思想政治课堂教学评价研究</w:t>
      </w:r>
    </w:p>
    <w:p w14:paraId="21EFA1B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6.思想政治学业水平考试相关问题研究</w:t>
      </w:r>
    </w:p>
    <w:p w14:paraId="7ED54F6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7.中学生培育社会主义核心价值观行动研究</w:t>
      </w:r>
    </w:p>
    <w:p w14:paraId="6751DF3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8.中华优秀传统文化融入德育课程策略研究</w:t>
      </w:r>
    </w:p>
    <w:p w14:paraId="4CC4BE6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9.高中思想政治与生活德育实践研究</w:t>
      </w:r>
    </w:p>
    <w:p w14:paraId="58FD94E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10.新高考思想政治试题特点与教学策略研究</w:t>
      </w:r>
    </w:p>
    <w:p w14:paraId="32E9A97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11.新时代思想政治教师专业发展研究</w:t>
      </w:r>
    </w:p>
    <w:p w14:paraId="093BFED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12.中学生综合素质评价研究</w:t>
      </w:r>
    </w:p>
    <w:p w14:paraId="0349DCC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13.新技术在思想政治课堂教学中运用的研究</w:t>
      </w:r>
    </w:p>
    <w:p w14:paraId="44BCED4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14.高中思想政治课程的动态化、校本化开发与实施研究</w:t>
      </w:r>
    </w:p>
    <w:p w14:paraId="31DDE57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15.中外德育课程比较研究</w:t>
      </w:r>
    </w:p>
    <w:p w14:paraId="17FD4BE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16.高中思想政治教学课例研究</w:t>
      </w:r>
    </w:p>
    <w:p w14:paraId="4D82308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17.中学时事政策教育研究</w:t>
      </w:r>
    </w:p>
    <w:p w14:paraId="2A6B7C4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18.中学法治教育研究</w:t>
      </w:r>
    </w:p>
    <w:p w14:paraId="40222DB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19.思想政</w:t>
      </w:r>
      <w:r>
        <w:rPr>
          <w:rFonts w:hint="eastAsia" w:ascii="仿宋_GB2312" w:hAnsi="仿宋" w:eastAsia="仿宋_GB2312" w:cs="仿宋"/>
          <w:snapToGrid w:val="0"/>
          <w:color w:val="000000" w:themeColor="text1"/>
          <w:kern w:val="0"/>
          <w:sz w:val="32"/>
          <w:szCs w:val="32"/>
          <w:shd w:val="clear" w:color="auto" w:fill="FFFFFF"/>
        </w:rPr>
        <w:t>治课程中情感态度价值观培养研究</w:t>
      </w:r>
    </w:p>
    <w:p w14:paraId="41184B5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20.思想政治课程发挥立德树人关键作用的研究</w:t>
      </w:r>
    </w:p>
    <w:p w14:paraId="241EA91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shd w:val="clear" w:color="auto" w:fill="FFFFFF"/>
        </w:rPr>
        <w:t>21.思想政治课程培育学生核心素养的行动研究</w:t>
      </w:r>
    </w:p>
    <w:p w14:paraId="0DC180C4">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八、历史</w:t>
      </w:r>
    </w:p>
    <w:p w14:paraId="5976514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1.基于新课标的历史课程设计与教学方式创新研究</w:t>
      </w:r>
    </w:p>
    <w:p w14:paraId="0826B19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2.中学历史教学工具的使用研究</w:t>
      </w:r>
    </w:p>
    <w:p w14:paraId="652CA41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3.新修统编版义务教育历史教科书的使用与开发研究</w:t>
      </w:r>
    </w:p>
    <w:p w14:paraId="278C966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4.指向核心素养培育的中学历史教学实践研究</w:t>
      </w:r>
    </w:p>
    <w:p w14:paraId="21B776F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5.中学历史教师专业发展的策略研究</w:t>
      </w:r>
    </w:p>
    <w:p w14:paraId="62830B2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6.中学生材料研读能力的提升策略研究</w:t>
      </w:r>
    </w:p>
    <w:p w14:paraId="66D1F7C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7.历史学习兴趣的培养研究</w:t>
      </w:r>
    </w:p>
    <w:p w14:paraId="69B700D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8.中学生历史思维能力培养的实践研究</w:t>
      </w:r>
    </w:p>
    <w:p w14:paraId="76D5187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9.中学历史教学优秀课例研究</w:t>
      </w:r>
    </w:p>
    <w:p w14:paraId="6786670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10.素养导向的中学历史“教-学-评”一体化研究</w:t>
      </w:r>
    </w:p>
    <w:p w14:paraId="2908F42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11.统编版高中历史教材的使用与开发研究</w:t>
      </w:r>
    </w:p>
    <w:p w14:paraId="4A29A02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12.“双减”背景下历史课堂提质增效的实践研究</w:t>
      </w:r>
    </w:p>
    <w:p w14:paraId="12AAEFF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13.深度学习视域下的中学历史教学实践研究</w:t>
      </w:r>
    </w:p>
    <w:p w14:paraId="75579B1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14.初高中历史教学衔接的重难点问题研究</w:t>
      </w:r>
    </w:p>
    <w:p w14:paraId="48F4B31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15.考试与命题技术研究</w:t>
      </w:r>
    </w:p>
    <w:p w14:paraId="2CE08D4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16.单元整体视域下的结构化教学研究</w:t>
      </w:r>
    </w:p>
    <w:p w14:paraId="34D988D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17.中学历史跨学科主题学习活动的设计与实施研究</w:t>
      </w:r>
    </w:p>
    <w:p w14:paraId="0466A52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 xml:space="preserve">18.“双减”背景下历史作业的设计研究  </w:t>
      </w:r>
    </w:p>
    <w:p w14:paraId="4325938C">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九、地理</w:t>
      </w:r>
    </w:p>
    <w:p w14:paraId="3266C2E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1</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基于课程标准的“教-学-评”一体化的实践研究</w:t>
      </w:r>
    </w:p>
    <w:p w14:paraId="6BE9242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双减”背景下基于课程标准的地理作业创新设计研究</w:t>
      </w:r>
    </w:p>
    <w:p w14:paraId="1BD469D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基于课程标准的地理课程资源开发与应用研究</w:t>
      </w:r>
    </w:p>
    <w:p w14:paraId="6EE775F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4</w:t>
      </w:r>
      <w:r>
        <w:rPr>
          <w:rFonts w:hint="eastAsia" w:ascii="仿宋_GB2312" w:hAnsi="仿宋" w:eastAsia="仿宋_GB2312" w:cs="仿宋"/>
          <w:snapToGrid w:val="0"/>
          <w:color w:val="000000" w:themeColor="text1"/>
          <w:kern w:val="0"/>
          <w:sz w:val="32"/>
          <w:szCs w:val="32"/>
          <w:shd w:val="clear" w:color="auto" w:fill="FFFFFF"/>
        </w:rPr>
        <w:t>.基于赣文化的研学课程开发与实践研究</w:t>
      </w:r>
    </w:p>
    <w:p w14:paraId="605CF2B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双减”背景下高效地理课堂的建构与实践研究</w:t>
      </w:r>
    </w:p>
    <w:p w14:paraId="20F9871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普通高中地理新课程关键问题破解与研究</w:t>
      </w:r>
    </w:p>
    <w:p w14:paraId="067D646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地理实践力素养培养途径研究</w:t>
      </w:r>
    </w:p>
    <w:p w14:paraId="5BF4006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中学地理区域认知素养培养策略研究</w:t>
      </w:r>
    </w:p>
    <w:p w14:paraId="03E33A2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立德树人”导向下地理课程的育人价值研究</w:t>
      </w:r>
    </w:p>
    <w:p w14:paraId="0D70742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初中地理学业评价与内容标准的一致性研究</w:t>
      </w:r>
    </w:p>
    <w:p w14:paraId="5D576F9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普通高中地理新课程多元评价方式的研究</w:t>
      </w:r>
    </w:p>
    <w:p w14:paraId="6818B26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普通高中地理新课程选修教材的研究与实践</w:t>
      </w:r>
    </w:p>
    <w:p w14:paraId="6639BF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地理校本课程开发的实践研究</w:t>
      </w:r>
    </w:p>
    <w:p w14:paraId="376320E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基于地理学科核心素养的学业质量评价与水平划分的实践研究</w:t>
      </w:r>
    </w:p>
    <w:p w14:paraId="78766F4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地理“教-学-评”一致性的实践研究</w:t>
      </w:r>
    </w:p>
    <w:p w14:paraId="394834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地理学科核心素养及指标体系的实践研究</w:t>
      </w:r>
    </w:p>
    <w:p w14:paraId="630BA40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17</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基于中学生核心素养下的地理教师专业发展研究</w:t>
      </w:r>
    </w:p>
    <w:p w14:paraId="7A80FA7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18</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中学地理微课制作的实践研究</w:t>
      </w:r>
    </w:p>
    <w:p w14:paraId="3D1F222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19</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项目式学习在中学地理教学中的应用研究</w:t>
      </w:r>
    </w:p>
    <w:p w14:paraId="79D0F1E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20</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普通高中地理核心素养的课堂落实策略研究</w:t>
      </w:r>
    </w:p>
    <w:p w14:paraId="5E3558F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21.中学地理大单元教学研究与实践</w:t>
      </w:r>
    </w:p>
    <w:p w14:paraId="6EDA73D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22.义务教育地理课程学科融合教学研究与实践</w:t>
      </w:r>
    </w:p>
    <w:p w14:paraId="3041CD3D">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仿宋_GB2312" w:hAnsi="仿宋" w:eastAsia="仿宋_GB2312" w:cs="仿宋"/>
          <w:snapToGrid w:val="0"/>
          <w:kern w:val="0"/>
          <w:sz w:val="32"/>
          <w:szCs w:val="32"/>
        </w:rPr>
        <w:t>23.中学地理情景化教学研究与实践</w:t>
      </w:r>
    </w:p>
    <w:p w14:paraId="5B781EA3">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十、科学</w:t>
      </w:r>
    </w:p>
    <w:p w14:paraId="03A9DE0F">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1.科学教学中围绕核心概念整合课程内容的实践研究</w:t>
      </w:r>
    </w:p>
    <w:p w14:paraId="0775B05D">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2.有效利用STEM教育发展学生核心素养的方法研究</w:t>
      </w:r>
    </w:p>
    <w:p w14:paraId="62427951">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3.科学态度的养成策略研究</w:t>
      </w:r>
    </w:p>
    <w:p w14:paraId="1693E0C6">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4.低年级科学课堂教学研究</w:t>
      </w:r>
    </w:p>
    <w:p w14:paraId="2934CE36">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5.基于课程标准的科学教学设计与实施研究</w:t>
      </w:r>
    </w:p>
    <w:p w14:paraId="11EAD41F">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6.科学课堂教学中教师指导行为的有效性研究</w:t>
      </w:r>
    </w:p>
    <w:p w14:paraId="27D1676B">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7.小学生科学探究活动的组织与管理研究</w:t>
      </w:r>
    </w:p>
    <w:p w14:paraId="69D8E80D">
      <w:pPr>
        <w:numPr>
          <w:ilvl w:val="255"/>
          <w:numId w:val="0"/>
        </w:num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8.科学教学情境创设研究</w:t>
      </w:r>
    </w:p>
    <w:p w14:paraId="4E52A84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9.科学教学资源开发与利用的研究</w:t>
      </w:r>
    </w:p>
    <w:p w14:paraId="0A1CBEF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10.科学学业质量的评价技术研究</w:t>
      </w:r>
    </w:p>
    <w:p w14:paraId="7DCBAA9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11.科学教师校本教研的方法与途径研究</w:t>
      </w:r>
    </w:p>
    <w:p w14:paraId="5D78676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12.课外科技活动的组织与管理研究</w:t>
      </w:r>
    </w:p>
    <w:p w14:paraId="4427410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13.科学课堂教学评价研究</w:t>
      </w:r>
    </w:p>
    <w:p w14:paraId="167D81AB">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仿宋_GB2312" w:hAnsi="仿宋" w:eastAsia="仿宋_GB2312" w:cs="仿宋"/>
          <w:snapToGrid w:val="0"/>
          <w:kern w:val="0"/>
          <w:sz w:val="32"/>
          <w:szCs w:val="32"/>
        </w:rPr>
        <w:t>14.科学</w:t>
      </w:r>
      <w:r>
        <w:rPr>
          <w:rFonts w:hint="eastAsia" w:ascii="仿宋_GB2312" w:hAnsi="仿宋" w:eastAsia="仿宋_GB2312" w:cs="仿宋"/>
          <w:snapToGrid w:val="0"/>
          <w:color w:val="000000" w:themeColor="text1"/>
          <w:kern w:val="0"/>
          <w:sz w:val="32"/>
          <w:szCs w:val="32"/>
        </w:rPr>
        <w:t>课标与科学教材的</w:t>
      </w:r>
      <w:r>
        <w:rPr>
          <w:rFonts w:hint="eastAsia" w:ascii="仿宋_GB2312" w:hAnsi="仿宋" w:eastAsia="仿宋_GB2312" w:cs="仿宋"/>
          <w:snapToGrid w:val="0"/>
          <w:kern w:val="0"/>
          <w:sz w:val="32"/>
          <w:szCs w:val="32"/>
        </w:rPr>
        <w:t>对比研究</w:t>
      </w:r>
    </w:p>
    <w:p w14:paraId="6D65E8F1">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十一、物理</w:t>
      </w:r>
    </w:p>
    <w:p w14:paraId="765BC097">
      <w:pPr>
        <w:overflowPunct w:val="0"/>
        <w:autoSpaceDE w:val="0"/>
        <w:autoSpaceDN w:val="0"/>
        <w:adjustRightInd w:val="0"/>
        <w:snapToGrid w:val="0"/>
        <w:spacing w:line="585" w:lineRule="exact"/>
        <w:ind w:firstLine="640" w:firstLineChars="200"/>
        <w:textAlignment w:val="baseline"/>
        <w:rPr>
          <w:rFonts w:ascii="仿宋_GB2312" w:hAnsi="黑体" w:eastAsia="仿宋_GB2312" w:cs="黑体"/>
          <w:snapToGrid w:val="0"/>
          <w:kern w:val="0"/>
          <w:sz w:val="32"/>
          <w:szCs w:val="32"/>
        </w:rPr>
      </w:pPr>
      <w:r>
        <w:rPr>
          <w:rFonts w:hint="eastAsia" w:ascii="仿宋_GB2312" w:hAnsi="黑体" w:eastAsia="仿宋_GB2312" w:cs="黑体"/>
          <w:snapToGrid w:val="0"/>
          <w:kern w:val="0"/>
          <w:sz w:val="32"/>
          <w:szCs w:val="32"/>
        </w:rPr>
        <w:t>1.基于核心素养的初中物理有效作业及讲评研究</w:t>
      </w:r>
    </w:p>
    <w:p w14:paraId="25B612B9">
      <w:pPr>
        <w:overflowPunct w:val="0"/>
        <w:autoSpaceDE w:val="0"/>
        <w:autoSpaceDN w:val="0"/>
        <w:adjustRightInd w:val="0"/>
        <w:snapToGrid w:val="0"/>
        <w:spacing w:line="585" w:lineRule="exact"/>
        <w:ind w:firstLine="640" w:firstLineChars="200"/>
        <w:textAlignment w:val="baseline"/>
        <w:rPr>
          <w:rFonts w:ascii="仿宋_GB2312" w:hAnsi="黑体" w:eastAsia="仿宋_GB2312" w:cs="黑体"/>
          <w:snapToGrid w:val="0"/>
          <w:kern w:val="0"/>
          <w:sz w:val="32"/>
          <w:szCs w:val="32"/>
        </w:rPr>
      </w:pPr>
      <w:r>
        <w:rPr>
          <w:rFonts w:hint="eastAsia" w:ascii="仿宋_GB2312" w:hAnsi="黑体" w:eastAsia="仿宋_GB2312" w:cs="黑体"/>
          <w:snapToGrid w:val="0"/>
          <w:kern w:val="0"/>
          <w:sz w:val="32"/>
          <w:szCs w:val="32"/>
        </w:rPr>
        <w:t>2.基于跨学科主题实践的初中物理教学实施研究</w:t>
      </w:r>
    </w:p>
    <w:p w14:paraId="7C784FB2">
      <w:pPr>
        <w:overflowPunct w:val="0"/>
        <w:autoSpaceDE w:val="0"/>
        <w:autoSpaceDN w:val="0"/>
        <w:adjustRightInd w:val="0"/>
        <w:snapToGrid w:val="0"/>
        <w:spacing w:line="585" w:lineRule="exact"/>
        <w:ind w:firstLine="640" w:firstLineChars="200"/>
        <w:textAlignment w:val="baseline"/>
        <w:rPr>
          <w:rFonts w:ascii="仿宋_GB2312" w:hAnsi="黑体" w:eastAsia="仿宋_GB2312" w:cs="黑体"/>
          <w:snapToGrid w:val="0"/>
          <w:kern w:val="0"/>
          <w:sz w:val="32"/>
          <w:szCs w:val="32"/>
        </w:rPr>
      </w:pPr>
      <w:r>
        <w:rPr>
          <w:rFonts w:hint="eastAsia" w:ascii="仿宋_GB2312" w:hAnsi="黑体" w:eastAsia="仿宋_GB2312" w:cs="黑体"/>
          <w:snapToGrid w:val="0"/>
          <w:kern w:val="0"/>
          <w:sz w:val="32"/>
          <w:szCs w:val="32"/>
        </w:rPr>
        <w:t>3.中学物理家庭实验教学情境研究</w:t>
      </w:r>
    </w:p>
    <w:p w14:paraId="0CA6D842">
      <w:pPr>
        <w:overflowPunct w:val="0"/>
        <w:autoSpaceDE w:val="0"/>
        <w:autoSpaceDN w:val="0"/>
        <w:adjustRightInd w:val="0"/>
        <w:snapToGrid w:val="0"/>
        <w:spacing w:line="585" w:lineRule="exact"/>
        <w:ind w:firstLine="640" w:firstLineChars="200"/>
        <w:textAlignment w:val="baseline"/>
        <w:rPr>
          <w:rFonts w:ascii="仿宋_GB2312" w:hAnsi="黑体" w:eastAsia="仿宋_GB2312" w:cs="黑体"/>
          <w:snapToGrid w:val="0"/>
          <w:kern w:val="0"/>
          <w:sz w:val="32"/>
          <w:szCs w:val="32"/>
        </w:rPr>
      </w:pPr>
      <w:r>
        <w:rPr>
          <w:rFonts w:hint="eastAsia" w:ascii="仿宋_GB2312" w:hAnsi="黑体" w:eastAsia="仿宋_GB2312" w:cs="黑体"/>
          <w:snapToGrid w:val="0"/>
          <w:kern w:val="0"/>
          <w:sz w:val="32"/>
          <w:szCs w:val="32"/>
        </w:rPr>
        <w:t>4.基于核心素养的中学物理试卷命题分析研究</w:t>
      </w:r>
    </w:p>
    <w:p w14:paraId="6F6C4498">
      <w:pPr>
        <w:overflowPunct w:val="0"/>
        <w:autoSpaceDE w:val="0"/>
        <w:autoSpaceDN w:val="0"/>
        <w:adjustRightInd w:val="0"/>
        <w:snapToGrid w:val="0"/>
        <w:spacing w:line="585" w:lineRule="exact"/>
        <w:ind w:firstLine="640" w:firstLineChars="200"/>
        <w:textAlignment w:val="baseline"/>
        <w:rPr>
          <w:rFonts w:ascii="仿宋_GB2312" w:hAnsi="黑体" w:eastAsia="仿宋_GB2312" w:cs="黑体"/>
          <w:snapToGrid w:val="0"/>
          <w:kern w:val="0"/>
          <w:sz w:val="32"/>
          <w:szCs w:val="32"/>
        </w:rPr>
      </w:pPr>
      <w:r>
        <w:rPr>
          <w:rFonts w:hint="eastAsia" w:ascii="仿宋_GB2312" w:hAnsi="黑体" w:eastAsia="仿宋_GB2312" w:cs="黑体"/>
          <w:snapToGrid w:val="0"/>
          <w:kern w:val="0"/>
          <w:sz w:val="32"/>
          <w:szCs w:val="32"/>
        </w:rPr>
        <w:t>5.中学物理科学思维的初高中衔接教学策略研究</w:t>
      </w:r>
    </w:p>
    <w:p w14:paraId="4FEA2550">
      <w:pPr>
        <w:overflowPunct w:val="0"/>
        <w:autoSpaceDE w:val="0"/>
        <w:autoSpaceDN w:val="0"/>
        <w:adjustRightInd w:val="0"/>
        <w:snapToGrid w:val="0"/>
        <w:spacing w:line="585" w:lineRule="exact"/>
        <w:ind w:firstLine="640" w:firstLineChars="200"/>
        <w:textAlignment w:val="baseline"/>
        <w:rPr>
          <w:rFonts w:ascii="仿宋_GB2312" w:hAnsi="黑体" w:eastAsia="仿宋_GB2312" w:cs="黑体"/>
          <w:snapToGrid w:val="0"/>
          <w:kern w:val="0"/>
          <w:sz w:val="32"/>
          <w:szCs w:val="32"/>
        </w:rPr>
      </w:pPr>
      <w:r>
        <w:rPr>
          <w:rFonts w:hint="eastAsia" w:ascii="仿宋_GB2312" w:hAnsi="黑体" w:eastAsia="仿宋_GB2312" w:cs="黑体"/>
          <w:snapToGrid w:val="0"/>
          <w:kern w:val="0"/>
          <w:sz w:val="32"/>
          <w:szCs w:val="32"/>
        </w:rPr>
        <w:t>6.新课标背景下的物理试题与考试方式改革研究</w:t>
      </w:r>
    </w:p>
    <w:p w14:paraId="5B7D1D6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7</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中学物理课程标准及教材分析研究</w:t>
      </w:r>
    </w:p>
    <w:p w14:paraId="6D5A27A0">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8</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中学生物理核心素养培养研究</w:t>
      </w:r>
    </w:p>
    <w:p w14:paraId="7D513F4F">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9</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基于核心素养的课堂教学目标的构建及实施研究</w:t>
      </w:r>
    </w:p>
    <w:p w14:paraId="7184B2D3">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10</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基于核心素养的物理教学评价研究</w:t>
      </w:r>
    </w:p>
    <w:p w14:paraId="1A99623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11</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基于核心素养的物理学业评价研究</w:t>
      </w:r>
    </w:p>
    <w:p w14:paraId="1E86A69F">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12</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中学物理课堂教学分类及实施策略研究</w:t>
      </w:r>
    </w:p>
    <w:p w14:paraId="4EDA493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13</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高考物理能力培养研究</w:t>
      </w:r>
    </w:p>
    <w:p w14:paraId="5280382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14</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中学物理科学探究教学实施研究</w:t>
      </w:r>
    </w:p>
    <w:p w14:paraId="14AE772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15</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物理概念、规律学习心理研究</w:t>
      </w:r>
    </w:p>
    <w:p w14:paraId="0E6D53FD">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16</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中学物理科学方法教育研究</w:t>
      </w:r>
    </w:p>
    <w:p w14:paraId="6B2BCEBF">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17</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中学物理课堂观察的目标与实施研究</w:t>
      </w:r>
    </w:p>
    <w:p w14:paraId="763C7593">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18</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中学物理实验创新研究</w:t>
      </w:r>
    </w:p>
    <w:p w14:paraId="55472BDF">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19</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中学物理教师专业素养的提升研究</w:t>
      </w:r>
    </w:p>
    <w:p w14:paraId="5BBF4DCB">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20</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以校本教研促进物理教学质量提高的研究</w:t>
      </w:r>
    </w:p>
    <w:p w14:paraId="7181FAE3">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21</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中学生物理学习兴趣培养研究</w:t>
      </w:r>
    </w:p>
    <w:p w14:paraId="04455AC9">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22</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中学物理导学案的设计与开发研究</w:t>
      </w:r>
    </w:p>
    <w:p w14:paraId="657B586A">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23</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中学物理课程资源的开发与实施研究</w:t>
      </w:r>
    </w:p>
    <w:p w14:paraId="660EB813">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24</w:t>
      </w:r>
      <w:r>
        <w:rPr>
          <w:rFonts w:hint="eastAsia" w:ascii="仿宋_GB2312" w:hAnsi="仿宋" w:eastAsia="仿宋_GB2312" w:cs="仿宋"/>
          <w:snapToGrid w:val="0"/>
          <w:color w:val="000000" w:themeColor="text1"/>
          <w:kern w:val="0"/>
          <w:sz w:val="32"/>
          <w:szCs w:val="32"/>
        </w:rPr>
        <w:t>.</w:t>
      </w:r>
      <w:r>
        <w:rPr>
          <w:rFonts w:hint="eastAsia" w:ascii="仿宋_GB2312" w:hAnsi="仿宋" w:eastAsia="仿宋_GB2312" w:cs="仿宋"/>
          <w:snapToGrid w:val="0"/>
          <w:color w:val="000000" w:themeColor="text1"/>
          <w:kern w:val="0"/>
          <w:sz w:val="32"/>
          <w:szCs w:val="32"/>
          <w:shd w:val="clear" w:color="auto" w:fill="FFFFFF"/>
        </w:rPr>
        <w:t>初高中物理衔接教学研究</w:t>
      </w:r>
    </w:p>
    <w:p w14:paraId="756A764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25</w:t>
      </w:r>
      <w:r>
        <w:rPr>
          <w:rFonts w:hint="eastAsia" w:ascii="仿宋_GB2312" w:hAnsi="仿宋" w:eastAsia="仿宋_GB2312" w:cs="仿宋"/>
          <w:snapToGrid w:val="0"/>
          <w:color w:val="000000" w:themeColor="text1"/>
          <w:kern w:val="0"/>
          <w:sz w:val="32"/>
          <w:szCs w:val="32"/>
        </w:rPr>
        <w:t>.</w:t>
      </w:r>
      <w:r>
        <w:rPr>
          <w:rFonts w:hint="eastAsia" w:ascii="仿宋_GB2312" w:hAnsi="仿宋" w:eastAsia="仿宋_GB2312" w:cs="仿宋"/>
          <w:snapToGrid w:val="0"/>
          <w:color w:val="000000" w:themeColor="text1"/>
          <w:kern w:val="0"/>
          <w:sz w:val="32"/>
          <w:szCs w:val="32"/>
          <w:shd w:val="clear" w:color="auto" w:fill="FFFFFF"/>
        </w:rPr>
        <w:t>中学物理渗透“STSE”教育研究</w:t>
      </w:r>
    </w:p>
    <w:p w14:paraId="6DA262C2">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26</w:t>
      </w:r>
      <w:r>
        <w:rPr>
          <w:rFonts w:hint="eastAsia" w:ascii="仿宋_GB2312" w:hAnsi="仿宋" w:eastAsia="仿宋_GB2312" w:cs="仿宋"/>
          <w:snapToGrid w:val="0"/>
          <w:color w:val="000000" w:themeColor="text1"/>
          <w:kern w:val="0"/>
          <w:sz w:val="32"/>
          <w:szCs w:val="32"/>
        </w:rPr>
        <w:t>.</w:t>
      </w:r>
      <w:r>
        <w:rPr>
          <w:rFonts w:hint="eastAsia" w:ascii="仿宋_GB2312" w:hAnsi="仿宋" w:eastAsia="仿宋_GB2312" w:cs="仿宋"/>
          <w:snapToGrid w:val="0"/>
          <w:color w:val="000000" w:themeColor="text1"/>
          <w:kern w:val="0"/>
          <w:sz w:val="32"/>
          <w:szCs w:val="32"/>
          <w:shd w:val="clear" w:color="auto" w:fill="FFFFFF"/>
        </w:rPr>
        <w:t>现代教育技术与物理教学整合的研究</w:t>
      </w:r>
    </w:p>
    <w:p w14:paraId="4048E6D0">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27.中学物理DIS实验教学研究</w:t>
      </w:r>
    </w:p>
    <w:p w14:paraId="38788A7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28.与新课标配套的中学物理新教材的研究</w:t>
      </w:r>
    </w:p>
    <w:p w14:paraId="4ADDA870">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29.初中物理新课标下的实验教学研究</w:t>
      </w:r>
    </w:p>
    <w:p w14:paraId="6146FFC7">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30</w:t>
      </w:r>
      <w:r>
        <w:rPr>
          <w:rFonts w:hint="eastAsia" w:ascii="仿宋_GB2312" w:hAnsi="仿宋" w:eastAsia="仿宋_GB2312" w:cs="仿宋"/>
          <w:snapToGrid w:val="0"/>
          <w:color w:val="000000" w:themeColor="text1"/>
          <w:kern w:val="0"/>
          <w:sz w:val="32"/>
          <w:szCs w:val="32"/>
        </w:rPr>
        <w:t>.</w:t>
      </w:r>
      <w:r>
        <w:rPr>
          <w:rFonts w:hint="eastAsia" w:ascii="仿宋_GB2312" w:hAnsi="仿宋" w:eastAsia="仿宋_GB2312" w:cs="仿宋"/>
          <w:snapToGrid w:val="0"/>
          <w:color w:val="000000" w:themeColor="text1"/>
          <w:kern w:val="0"/>
          <w:sz w:val="32"/>
          <w:szCs w:val="32"/>
          <w:shd w:val="clear" w:color="auto" w:fill="FFFFFF"/>
        </w:rPr>
        <w:t>科学教育</w:t>
      </w:r>
      <w:r>
        <w:rPr>
          <w:rFonts w:hint="eastAsia" w:ascii="仿宋_GB2312" w:hAnsi="仿宋" w:eastAsia="仿宋_GB2312" w:cs="仿宋"/>
          <w:snapToGrid w:val="0"/>
          <w:kern w:val="0"/>
          <w:sz w:val="32"/>
          <w:szCs w:val="32"/>
          <w:shd w:val="clear" w:color="auto" w:fill="FFFFFF"/>
        </w:rPr>
        <w:t>背景下初中物理核心素养的教学评价研究</w:t>
      </w:r>
    </w:p>
    <w:p w14:paraId="3FE1FA58">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31</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科学教育背景下开展初中物理项目化实践的路径研究</w:t>
      </w:r>
    </w:p>
    <w:p w14:paraId="6582791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shd w:val="clear" w:color="auto" w:fill="FFFFFF"/>
        </w:rPr>
        <w:t>32.初中物理</w:t>
      </w:r>
      <w:r>
        <w:rPr>
          <w:rFonts w:hint="eastAsia" w:ascii="仿宋_GB2312" w:hAnsi="仿宋" w:eastAsia="仿宋_GB2312" w:cs="仿宋"/>
          <w:snapToGrid w:val="0"/>
          <w:kern w:val="0"/>
          <w:sz w:val="32"/>
          <w:szCs w:val="32"/>
        </w:rPr>
        <w:t>教育中关于“立德树人”落实途径的研究</w:t>
      </w:r>
    </w:p>
    <w:p w14:paraId="06878DD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33.关于从地方文化中培养初中物理核心素养的实践研究</w:t>
      </w:r>
    </w:p>
    <w:p w14:paraId="7D7C983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34.从校本课程建设中培养初中学生物理核心素养的实施策略研究</w:t>
      </w:r>
    </w:p>
    <w:p w14:paraId="63E2B38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35.“双减”背景下信息化教育技术与初中物理作业设计相结合的实</w:t>
      </w:r>
      <w:r>
        <w:rPr>
          <w:rFonts w:hint="eastAsia" w:ascii="仿宋_GB2312" w:hAnsi="仿宋" w:eastAsia="仿宋_GB2312" w:cs="仿宋"/>
          <w:snapToGrid w:val="0"/>
          <w:color w:val="000000" w:themeColor="text1"/>
          <w:kern w:val="0"/>
          <w:sz w:val="32"/>
          <w:szCs w:val="32"/>
          <w:shd w:val="clear" w:color="auto" w:fill="FFFFFF"/>
        </w:rPr>
        <w:t>践研究</w:t>
      </w:r>
    </w:p>
    <w:p w14:paraId="0651096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color w:val="000000" w:themeColor="text1"/>
          <w:kern w:val="0"/>
          <w:sz w:val="32"/>
          <w:szCs w:val="32"/>
        </w:rPr>
        <w:t>36.物理教学创</w:t>
      </w:r>
      <w:r>
        <w:rPr>
          <w:rFonts w:hint="eastAsia" w:ascii="仿宋_GB2312" w:hAnsi="仿宋" w:eastAsia="仿宋_GB2312" w:cs="仿宋"/>
          <w:snapToGrid w:val="0"/>
          <w:kern w:val="0"/>
          <w:sz w:val="32"/>
          <w:szCs w:val="32"/>
        </w:rPr>
        <w:t>设真实有价值问题情境的研究</w:t>
      </w:r>
    </w:p>
    <w:p w14:paraId="65CC4FF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37.新高考下物理总复习教学和物理试题的研究</w:t>
      </w:r>
    </w:p>
    <w:p w14:paraId="563E5B7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rPr>
        <w:t>3</w:t>
      </w:r>
      <w:r>
        <w:rPr>
          <w:rFonts w:hint="eastAsia" w:ascii="仿宋_GB2312" w:hAnsi="仿宋" w:eastAsia="仿宋_GB2312" w:cs="仿宋"/>
          <w:snapToGrid w:val="0"/>
          <w:kern w:val="0"/>
          <w:sz w:val="32"/>
          <w:szCs w:val="32"/>
          <w:shd w:val="clear" w:color="auto" w:fill="FFFFFF"/>
        </w:rPr>
        <w:t>8.新课程初中物理自制教具系列化研究</w:t>
      </w:r>
    </w:p>
    <w:p w14:paraId="4368EF2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spacing w:val="-1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39.</w:t>
      </w:r>
      <w:r>
        <w:rPr>
          <w:rFonts w:hint="eastAsia" w:ascii="仿宋_GB2312" w:hAnsi="仿宋" w:eastAsia="仿宋_GB2312" w:cs="仿宋"/>
          <w:snapToGrid w:val="0"/>
          <w:spacing w:val="-10"/>
          <w:kern w:val="0"/>
          <w:sz w:val="32"/>
          <w:szCs w:val="32"/>
          <w:shd w:val="clear" w:color="auto" w:fill="FFFFFF"/>
        </w:rPr>
        <w:t>应用思维可视化实验教学策略在初中物理教学中的应用研究</w:t>
      </w:r>
    </w:p>
    <w:p w14:paraId="32494821">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40</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kern w:val="0"/>
          <w:sz w:val="32"/>
          <w:szCs w:val="32"/>
          <w:shd w:val="clear" w:color="auto" w:fill="FFFFFF"/>
        </w:rPr>
        <w:t>初中物理项目化、生活化实验教学研究</w:t>
      </w:r>
    </w:p>
    <w:p w14:paraId="1C2DB00C">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41.中学物理深度思维下跨学科实践研究</w:t>
      </w:r>
    </w:p>
    <w:p w14:paraId="44A47A82">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42.新课程下中学物理教师关键能力提升研究</w:t>
      </w:r>
    </w:p>
    <w:p w14:paraId="0086C568">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十二、化学</w:t>
      </w:r>
    </w:p>
    <w:p w14:paraId="4B2B1655">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1.新课程化学实验与探究性活动教学策略研究</w:t>
      </w:r>
    </w:p>
    <w:p w14:paraId="7A8F5A20">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2.基于新课标下的中学生化学核心素养培养研究</w:t>
      </w:r>
    </w:p>
    <w:p w14:paraId="6AAB07B7">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3.微型化学实验推进化学课堂教学的实效研究</w:t>
      </w:r>
    </w:p>
    <w:p w14:paraId="186CABF2">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4.基于化学核心素养的化学课堂教学实施策略研究</w:t>
      </w:r>
    </w:p>
    <w:p w14:paraId="18E35E22">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5.中学化学教学中创设问题情境的方法研究</w:t>
      </w:r>
    </w:p>
    <w:p w14:paraId="2CC35A0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spacing w:val="-6"/>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6</w:t>
      </w:r>
      <w:r>
        <w:rPr>
          <w:rFonts w:hint="eastAsia" w:ascii="仿宋_GB2312" w:hAnsi="仿宋" w:eastAsia="仿宋_GB2312" w:cs="仿宋"/>
          <w:snapToGrid w:val="0"/>
          <w:kern w:val="0"/>
          <w:sz w:val="32"/>
          <w:szCs w:val="32"/>
        </w:rPr>
        <w:t>.</w:t>
      </w:r>
      <w:r>
        <w:rPr>
          <w:rFonts w:hint="eastAsia" w:ascii="仿宋_GB2312" w:hAnsi="仿宋" w:eastAsia="仿宋_GB2312" w:cs="仿宋"/>
          <w:snapToGrid w:val="0"/>
          <w:spacing w:val="-6"/>
          <w:kern w:val="0"/>
          <w:sz w:val="32"/>
          <w:szCs w:val="32"/>
          <w:shd w:val="clear" w:color="auto" w:fill="FFFFFF"/>
        </w:rPr>
        <w:t>高中化学必修课程（选择性必修课程）教学资源的利用研究</w:t>
      </w:r>
    </w:p>
    <w:p w14:paraId="452C0B53">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7.初高中化学教学衔</w:t>
      </w:r>
      <w:r>
        <w:rPr>
          <w:rFonts w:hint="eastAsia" w:ascii="仿宋_GB2312" w:hAnsi="仿宋" w:eastAsia="仿宋_GB2312" w:cs="仿宋"/>
          <w:snapToGrid w:val="0"/>
          <w:color w:val="000000" w:themeColor="text1"/>
          <w:kern w:val="0"/>
          <w:sz w:val="32"/>
          <w:szCs w:val="32"/>
          <w:shd w:val="clear" w:color="auto" w:fill="FFFFFF"/>
        </w:rPr>
        <w:t>接的策略与实践研究</w:t>
      </w:r>
    </w:p>
    <w:p w14:paraId="22B3284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8.数字化环境下化学实验教学创新的实践研究</w:t>
      </w:r>
    </w:p>
    <w:p w14:paraId="11DA52DB">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9.新课程下中学化学学业评价研究</w:t>
      </w:r>
    </w:p>
    <w:p w14:paraId="2FDA251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10.中学生化学学习兴趣培养的调查研究</w:t>
      </w:r>
    </w:p>
    <w:p w14:paraId="6E5D2DB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11.化学史与课堂教学深度融合的教学研究</w:t>
      </w:r>
    </w:p>
    <w:p w14:paraId="041CC223">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12.农村化学教师专业发展的途径和策略研究</w:t>
      </w:r>
    </w:p>
    <w:p w14:paraId="7E964FDE">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13.农村中学实施化学新课程的问题与对策研究</w:t>
      </w:r>
    </w:p>
    <w:p w14:paraId="274812B3">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14.中学化学校本教研内容和方式的研究</w:t>
      </w:r>
    </w:p>
    <w:p w14:paraId="32A5ADB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15.新高考模式下化学教学策略的研究</w:t>
      </w:r>
    </w:p>
    <w:p w14:paraId="1BB26AC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16.基</w:t>
      </w:r>
      <w:r>
        <w:rPr>
          <w:rFonts w:hint="eastAsia" w:ascii="仿宋_GB2312" w:hAnsi="仿宋" w:eastAsia="仿宋_GB2312" w:cs="仿宋"/>
          <w:snapToGrid w:val="0"/>
          <w:color w:val="000000" w:themeColor="text1"/>
          <w:kern w:val="0"/>
          <w:sz w:val="32"/>
          <w:szCs w:val="32"/>
          <w:shd w:val="clear" w:color="auto" w:fill="FFFFFF"/>
        </w:rPr>
        <w:t>于AI赋能化学教研</w:t>
      </w:r>
      <w:r>
        <w:rPr>
          <w:rFonts w:hint="eastAsia" w:ascii="仿宋_GB2312" w:hAnsi="仿宋" w:eastAsia="仿宋_GB2312" w:cs="仿宋"/>
          <w:snapToGrid w:val="0"/>
          <w:kern w:val="0"/>
          <w:sz w:val="32"/>
          <w:szCs w:val="32"/>
          <w:shd w:val="clear" w:color="auto" w:fill="FFFFFF"/>
        </w:rPr>
        <w:t>的模式研究</w:t>
      </w:r>
    </w:p>
    <w:p w14:paraId="1B92C47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17.中学化学学习中学生受挫成因及对策研究</w:t>
      </w:r>
    </w:p>
    <w:p w14:paraId="4C9349B5">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18.高中生化学学习心理探究及调整策略研究</w:t>
      </w:r>
    </w:p>
    <w:p w14:paraId="3EECCCB0">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19.</w:t>
      </w:r>
      <w:r>
        <w:rPr>
          <w:rFonts w:hint="eastAsia" w:ascii="仿宋_GB2312" w:hAnsi="仿宋" w:eastAsia="仿宋_GB2312" w:cs="仿宋"/>
          <w:snapToGrid w:val="0"/>
          <w:color w:val="000000" w:themeColor="text1"/>
          <w:kern w:val="0"/>
          <w:sz w:val="32"/>
          <w:szCs w:val="32"/>
          <w:shd w:val="clear" w:color="auto" w:fill="FFFFFF"/>
        </w:rPr>
        <w:t>人工智能赋能下的中学化学教学策略与实践研究</w:t>
      </w:r>
    </w:p>
    <w:p w14:paraId="717058BC">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20.科学探究视角下的化学学业质量试题命制技术的研究</w:t>
      </w:r>
    </w:p>
    <w:p w14:paraId="3161668E">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21.中学化学DIS实验教学研究</w:t>
      </w:r>
    </w:p>
    <w:p w14:paraId="6459B65D">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22.“双减”背景下的初中化学作业设计与实践研究</w:t>
      </w:r>
    </w:p>
    <w:p w14:paraId="39941F1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23.新课标背景下的初中化学课堂教学实践研究</w:t>
      </w:r>
    </w:p>
    <w:p w14:paraId="72DBFEA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color w:val="000000" w:themeColor="text1"/>
          <w:kern w:val="0"/>
          <w:sz w:val="32"/>
          <w:szCs w:val="32"/>
          <w:shd w:val="clear" w:color="auto" w:fill="FFFFFF"/>
        </w:rPr>
        <w:t>24.“三新”背景下高</w:t>
      </w:r>
      <w:r>
        <w:rPr>
          <w:rFonts w:hint="eastAsia" w:ascii="仿宋_GB2312" w:hAnsi="仿宋" w:eastAsia="仿宋_GB2312" w:cs="仿宋"/>
          <w:snapToGrid w:val="0"/>
          <w:kern w:val="0"/>
          <w:sz w:val="32"/>
          <w:szCs w:val="32"/>
          <w:shd w:val="clear" w:color="auto" w:fill="FFFFFF"/>
        </w:rPr>
        <w:t>中化学教学实践研究</w:t>
      </w:r>
    </w:p>
    <w:p w14:paraId="54E299C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25.实验创新在新教材中的应用与实践研究</w:t>
      </w:r>
    </w:p>
    <w:p w14:paraId="42F5866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26.高中化学项目式教学方法研究</w:t>
      </w:r>
    </w:p>
    <w:p w14:paraId="09250A9A">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shd w:val="clear" w:color="auto" w:fill="FFFFFF"/>
        </w:rPr>
      </w:pPr>
      <w:r>
        <w:rPr>
          <w:rFonts w:hint="eastAsia" w:ascii="仿宋_GB2312" w:hAnsi="仿宋" w:eastAsia="仿宋_GB2312" w:cs="仿宋"/>
          <w:snapToGrid w:val="0"/>
          <w:kern w:val="0"/>
          <w:sz w:val="32"/>
          <w:szCs w:val="32"/>
          <w:shd w:val="clear" w:color="auto" w:fill="FFFFFF"/>
        </w:rPr>
        <w:t>27.三维虚拟技术在物质结构教学中的应用研究</w:t>
      </w:r>
    </w:p>
    <w:p w14:paraId="0F809F63">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十三、生物学</w:t>
      </w:r>
    </w:p>
    <w:p w14:paraId="6182C4F5">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spacing w:val="-12"/>
          <w:kern w:val="0"/>
          <w:sz w:val="32"/>
          <w:szCs w:val="32"/>
        </w:rPr>
      </w:pPr>
      <w:r>
        <w:rPr>
          <w:rFonts w:hint="eastAsia" w:ascii="仿宋_GB2312" w:hAnsi="仿宋" w:eastAsia="仿宋_GB2312" w:cs="仿宋"/>
          <w:snapToGrid w:val="0"/>
          <w:kern w:val="0"/>
          <w:sz w:val="32"/>
          <w:szCs w:val="32"/>
        </w:rPr>
        <w:t>1.</w:t>
      </w:r>
      <w:r>
        <w:rPr>
          <w:rFonts w:hint="eastAsia" w:ascii="仿宋_GB2312" w:hAnsi="仿宋" w:eastAsia="仿宋_GB2312" w:cs="仿宋"/>
          <w:snapToGrid w:val="0"/>
          <w:spacing w:val="-12"/>
          <w:kern w:val="0"/>
          <w:sz w:val="32"/>
          <w:szCs w:val="32"/>
        </w:rPr>
        <w:t>高中生物学课程标准与</w:t>
      </w:r>
      <w:r>
        <w:rPr>
          <w:rFonts w:hint="eastAsia" w:ascii="仿宋_GB2312" w:hAnsi="仿宋" w:eastAsia="仿宋_GB2312" w:cs="仿宋"/>
          <w:snapToGrid w:val="0"/>
          <w:color w:val="000000" w:themeColor="text1"/>
          <w:spacing w:val="-12"/>
          <w:kern w:val="0"/>
          <w:sz w:val="32"/>
          <w:szCs w:val="32"/>
        </w:rPr>
        <w:t>各版本教材特色分析与教学实践研究</w:t>
      </w:r>
    </w:p>
    <w:p w14:paraId="0CBCC6D1">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2.新课程生物学实验（探究性活动设计）的教学策略研究</w:t>
      </w:r>
    </w:p>
    <w:p w14:paraId="4E1448C8">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3.新</w:t>
      </w:r>
      <w:r>
        <w:rPr>
          <w:rFonts w:hint="eastAsia" w:ascii="仿宋_GB2312" w:hAnsi="仿宋" w:eastAsia="仿宋_GB2312" w:cs="仿宋"/>
          <w:snapToGrid w:val="0"/>
          <w:color w:val="000000" w:themeColor="text1"/>
          <w:spacing w:val="-6"/>
          <w:kern w:val="0"/>
          <w:sz w:val="32"/>
          <w:szCs w:val="32"/>
        </w:rPr>
        <w:t>课改背景下中学生物学课堂教学模式及教学效果提升研究</w:t>
      </w:r>
    </w:p>
    <w:p w14:paraId="798C9941">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4.高中生物学基于学科核心素养培养的教与学效果评价研究</w:t>
      </w:r>
    </w:p>
    <w:p w14:paraId="49D53EF6">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5.基于生物学核心素养的学生活动设计与课堂实践研究</w:t>
      </w:r>
    </w:p>
    <w:p w14:paraId="7209F781">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6.中学生物学教学内容与教学要求衔接问题的研究</w:t>
      </w:r>
    </w:p>
    <w:p w14:paraId="1DFB568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w:t>
      </w:r>
      <w:r>
        <w:rPr>
          <w:rFonts w:hint="eastAsia" w:ascii="仿宋_GB2312" w:hAnsi="仿宋" w:eastAsia="仿宋_GB2312" w:cs="仿宋"/>
          <w:snapToGrid w:val="0"/>
          <w:color w:val="000000" w:themeColor="text1"/>
          <w:spacing w:val="-6"/>
          <w:kern w:val="0"/>
          <w:sz w:val="32"/>
          <w:szCs w:val="32"/>
        </w:rPr>
        <w:t>初高中学生生物学学习方法形成与学习能力提升的实践研究</w:t>
      </w:r>
    </w:p>
    <w:p w14:paraId="79E246EB">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8.新课程背景下高中生物学课程开设及教学实施的研究</w:t>
      </w:r>
    </w:p>
    <w:p w14:paraId="63D339FD">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9.在生物学教学中职业发展与规划的实践研究</w:t>
      </w:r>
    </w:p>
    <w:p w14:paraId="4C7376DA">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10.生物学课堂教学中不同课型的典型课例研究</w:t>
      </w:r>
    </w:p>
    <w:p w14:paraId="69384D2A">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11.新课程背景下生物学选课走班管理及实施情</w:t>
      </w:r>
      <w:r>
        <w:rPr>
          <w:rFonts w:hint="eastAsia" w:ascii="仿宋_GB2312" w:hAnsi="仿宋" w:eastAsia="仿宋_GB2312" w:cs="仿宋"/>
          <w:snapToGrid w:val="0"/>
          <w:color w:val="000000" w:themeColor="text1"/>
          <w:kern w:val="0"/>
          <w:sz w:val="32"/>
          <w:szCs w:val="32"/>
        </w:rPr>
        <w:t>况的研究</w:t>
      </w:r>
    </w:p>
    <w:p w14:paraId="3F7AC13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12.新课程背景下生物测试试题质量评价研究</w:t>
      </w:r>
    </w:p>
    <w:p w14:paraId="5D2B2590">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13.薄弱学校生物学的新课程教学困惑及解决对策研究</w:t>
      </w:r>
    </w:p>
    <w:p w14:paraId="4A05DADE">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14.数字</w:t>
      </w:r>
      <w:r>
        <w:rPr>
          <w:rFonts w:hint="eastAsia" w:ascii="仿宋_GB2312" w:hAnsi="仿宋" w:eastAsia="仿宋_GB2312" w:cs="仿宋"/>
          <w:snapToGrid w:val="0"/>
          <w:color w:val="000000" w:themeColor="text1"/>
          <w:spacing w:val="-6"/>
          <w:kern w:val="0"/>
          <w:sz w:val="32"/>
          <w:szCs w:val="32"/>
        </w:rPr>
        <w:t>化教学对生物学课堂教学（实验教学）效果影响的研究</w:t>
      </w:r>
    </w:p>
    <w:p w14:paraId="1A6AE254">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15.普通高中生物学学业水平合格性考试与新高考相关问题研究</w:t>
      </w:r>
    </w:p>
    <w:p w14:paraId="207D5989">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16.中学生物DIS实验教学研究</w:t>
      </w:r>
    </w:p>
    <w:p w14:paraId="24CC3E12">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17.生物学教师教学行为的课堂观测及评价标准的研究</w:t>
      </w:r>
    </w:p>
    <w:p w14:paraId="7E6D328E">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18.生</w:t>
      </w:r>
      <w:r>
        <w:rPr>
          <w:rFonts w:hint="eastAsia" w:ascii="仿宋_GB2312" w:hAnsi="仿宋" w:eastAsia="仿宋_GB2312" w:cs="仿宋"/>
          <w:snapToGrid w:val="0"/>
          <w:color w:val="000000" w:themeColor="text1"/>
          <w:spacing w:val="-6"/>
          <w:kern w:val="0"/>
          <w:sz w:val="32"/>
          <w:szCs w:val="32"/>
        </w:rPr>
        <w:t>物学教师专业发展技能培养及能力提升的有效途径研究</w:t>
      </w:r>
    </w:p>
    <w:p w14:paraId="1F9D8707">
      <w:pPr>
        <w:shd w:val="solid" w:color="FFFFFF" w:fill="auto"/>
        <w:tabs>
          <w:tab w:val="left" w:pos="840"/>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19.生物学校本教研制度建设途径与实施方法的研究</w:t>
      </w:r>
    </w:p>
    <w:p w14:paraId="3645FF5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20.中学生物学新课标教材配套的作业设计实践研究</w:t>
      </w:r>
    </w:p>
    <w:p w14:paraId="3E00041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21.高中生物生命科学史及科学思想教学意义的实践研究</w:t>
      </w:r>
    </w:p>
    <w:p w14:paraId="4D549FD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22.高中生物学学科价值与教学实施的实践研究</w:t>
      </w:r>
    </w:p>
    <w:p w14:paraId="3F74050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spacing w:val="-8"/>
          <w:kern w:val="0"/>
          <w:sz w:val="32"/>
          <w:szCs w:val="32"/>
        </w:rPr>
      </w:pPr>
      <w:r>
        <w:rPr>
          <w:rFonts w:hint="eastAsia" w:ascii="仿宋_GB2312" w:hAnsi="仿宋" w:eastAsia="仿宋_GB2312" w:cs="仿宋"/>
          <w:snapToGrid w:val="0"/>
          <w:color w:val="000000" w:themeColor="text1"/>
          <w:kern w:val="0"/>
          <w:sz w:val="32"/>
          <w:szCs w:val="32"/>
        </w:rPr>
        <w:t>23.</w:t>
      </w:r>
      <w:r>
        <w:rPr>
          <w:rFonts w:hint="eastAsia" w:ascii="仿宋_GB2312" w:hAnsi="仿宋" w:eastAsia="仿宋_GB2312" w:cs="仿宋"/>
          <w:snapToGrid w:val="0"/>
          <w:color w:val="000000" w:themeColor="text1"/>
          <w:spacing w:val="-8"/>
          <w:kern w:val="0"/>
          <w:sz w:val="32"/>
          <w:szCs w:val="32"/>
        </w:rPr>
        <w:t>高中生物学生活、学习与实践情境的问题观察解答研究</w:t>
      </w:r>
    </w:p>
    <w:p w14:paraId="47933FB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24.“三新”背景下选课指导与学业生涯指导实施研究</w:t>
      </w:r>
    </w:p>
    <w:p w14:paraId="6B82236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25.普通高中生物学选修课程开发与实施策略研究</w:t>
      </w:r>
    </w:p>
    <w:p w14:paraId="755C273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26.高中生物学教师创设实施教学情境的研究</w:t>
      </w:r>
    </w:p>
    <w:p w14:paraId="62CD7BF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27.新课程改革学业水平多样性评价创新方案研究</w:t>
      </w:r>
    </w:p>
    <w:p w14:paraId="2F577EC1">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十四、信息科技</w:t>
      </w:r>
    </w:p>
    <w:p w14:paraId="4129D624">
      <w:pPr>
        <w:overflowPunct w:val="0"/>
        <w:autoSpaceDE w:val="0"/>
        <w:autoSpaceDN w:val="0"/>
        <w:adjustRightInd w:val="0"/>
        <w:snapToGrid w:val="0"/>
        <w:spacing w:line="585" w:lineRule="exact"/>
        <w:ind w:firstLine="640" w:firstLineChars="200"/>
        <w:textAlignment w:val="baseline"/>
        <w:rPr>
          <w:rFonts w:ascii="仿宋_GB2312" w:hAnsi="仿宋" w:eastAsia="仿宋_GB2312"/>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1.中小学信息科技数字化教材研究</w:t>
      </w:r>
    </w:p>
    <w:p w14:paraId="14C8AA3E">
      <w:pPr>
        <w:overflowPunct w:val="0"/>
        <w:autoSpaceDE w:val="0"/>
        <w:autoSpaceDN w:val="0"/>
        <w:adjustRightInd w:val="0"/>
        <w:snapToGrid w:val="0"/>
        <w:spacing w:line="585" w:lineRule="exact"/>
        <w:ind w:firstLine="640" w:firstLineChars="200"/>
        <w:textAlignment w:val="baseline"/>
        <w:rPr>
          <w:rFonts w:ascii="仿宋_GB2312" w:hAnsi="仿宋" w:eastAsia="仿宋_GB2312"/>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2.中小学人工智能通识教育课程研究</w:t>
      </w:r>
    </w:p>
    <w:p w14:paraId="2AEB4B1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3.中</w:t>
      </w:r>
      <w:r>
        <w:rPr>
          <w:rFonts w:hint="eastAsia" w:ascii="仿宋_GB2312" w:hAnsi="仿宋" w:eastAsia="仿宋_GB2312" w:cs="仿宋"/>
          <w:snapToGrid w:val="0"/>
          <w:color w:val="000000" w:themeColor="text1"/>
          <w:kern w:val="0"/>
          <w:sz w:val="32"/>
          <w:szCs w:val="32"/>
        </w:rPr>
        <w:t>小学信息科技教师专业素养提升的理论与实践研究</w:t>
      </w:r>
    </w:p>
    <w:p w14:paraId="63680D6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4.</w:t>
      </w:r>
      <w:r>
        <w:rPr>
          <w:rFonts w:hint="eastAsia" w:ascii="仿宋_GB2312" w:hAnsi="仿宋" w:eastAsia="仿宋_GB2312" w:cs="仿宋"/>
          <w:snapToGrid w:val="0"/>
          <w:color w:val="000000" w:themeColor="text1"/>
          <w:kern w:val="0"/>
          <w:sz w:val="32"/>
          <w:szCs w:val="32"/>
        </w:rPr>
        <w:t>基于中小学数字素养与技能的教学方式方法研究</w:t>
      </w:r>
    </w:p>
    <w:p w14:paraId="535D86A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w:t>
      </w:r>
      <w:r>
        <w:rPr>
          <w:rFonts w:hint="eastAsia" w:ascii="仿宋_GB2312" w:hAnsi="仿宋" w:eastAsia="仿宋_GB2312" w:cs="仿宋"/>
          <w:snapToGrid w:val="0"/>
          <w:color w:val="000000" w:themeColor="text1"/>
          <w:kern w:val="0"/>
          <w:sz w:val="32"/>
          <w:szCs w:val="32"/>
        </w:rPr>
        <w:t>义教信息科技教学指南与配套资源的本地化研究</w:t>
      </w:r>
    </w:p>
    <w:p w14:paraId="5DD11D6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6.中</w:t>
      </w:r>
      <w:r>
        <w:rPr>
          <w:rFonts w:hint="eastAsia" w:ascii="仿宋_GB2312" w:hAnsi="仿宋" w:eastAsia="仿宋_GB2312" w:cs="仿宋"/>
          <w:snapToGrid w:val="0"/>
          <w:color w:val="000000" w:themeColor="text1"/>
          <w:kern w:val="0"/>
          <w:sz w:val="32"/>
          <w:szCs w:val="32"/>
        </w:rPr>
        <w:t>小学生数字素养与技能培育研究</w:t>
      </w:r>
    </w:p>
    <w:p w14:paraId="4A6FF25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7.中</w:t>
      </w:r>
      <w:r>
        <w:rPr>
          <w:rFonts w:hint="eastAsia" w:ascii="仿宋_GB2312" w:hAnsi="仿宋" w:eastAsia="仿宋_GB2312" w:cs="仿宋"/>
          <w:snapToGrid w:val="0"/>
          <w:color w:val="000000" w:themeColor="text1"/>
          <w:kern w:val="0"/>
          <w:sz w:val="32"/>
          <w:szCs w:val="32"/>
        </w:rPr>
        <w:t>小学信息科技大单元教学研究</w:t>
      </w:r>
    </w:p>
    <w:p w14:paraId="0220FA4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8.中</w:t>
      </w:r>
      <w:r>
        <w:rPr>
          <w:rFonts w:hint="eastAsia" w:ascii="仿宋_GB2312" w:hAnsi="仿宋" w:eastAsia="仿宋_GB2312" w:cs="仿宋"/>
          <w:snapToGrid w:val="0"/>
          <w:color w:val="000000" w:themeColor="text1"/>
          <w:kern w:val="0"/>
          <w:sz w:val="32"/>
          <w:szCs w:val="32"/>
        </w:rPr>
        <w:t>小学信息科技项目学习研究</w:t>
      </w:r>
    </w:p>
    <w:p w14:paraId="3F2BE81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9.</w:t>
      </w:r>
      <w:r>
        <w:rPr>
          <w:rFonts w:hint="eastAsia" w:ascii="仿宋_GB2312" w:hAnsi="仿宋" w:eastAsia="仿宋_GB2312" w:cs="仿宋"/>
          <w:snapToGrid w:val="0"/>
          <w:color w:val="000000" w:themeColor="text1"/>
          <w:kern w:val="0"/>
          <w:sz w:val="32"/>
          <w:szCs w:val="32"/>
        </w:rPr>
        <w:t>农村义教信息科技教学现状分析与对策研究</w:t>
      </w:r>
    </w:p>
    <w:p w14:paraId="34A4CDF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10.</w:t>
      </w:r>
      <w:r>
        <w:rPr>
          <w:rFonts w:hint="eastAsia" w:ascii="仿宋_GB2312" w:hAnsi="仿宋" w:eastAsia="仿宋_GB2312" w:cs="仿宋"/>
          <w:snapToGrid w:val="0"/>
          <w:color w:val="000000" w:themeColor="text1"/>
          <w:kern w:val="0"/>
          <w:sz w:val="32"/>
          <w:szCs w:val="32"/>
        </w:rPr>
        <w:t>义教信息科技课程数字素养与技能的评价研究</w:t>
      </w:r>
    </w:p>
    <w:p w14:paraId="653CBA7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11.县中振兴政策下高中数字素养与技能培育研究</w:t>
      </w:r>
    </w:p>
    <w:p w14:paraId="6186D66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12.义教信息科技课程逆向教学研究</w:t>
      </w:r>
    </w:p>
    <w:p w14:paraId="7D9468F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13.生成式人工智能融入义教信息科技课程的研究</w:t>
      </w:r>
    </w:p>
    <w:p w14:paraId="7D2455A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14.Python融入中小学信息科技课程的研究</w:t>
      </w:r>
    </w:p>
    <w:p w14:paraId="72AC930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15.义教信息科技学业评价研究</w:t>
      </w:r>
    </w:p>
    <w:p w14:paraId="131DBA7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16.高中信息科技学业评价研究</w:t>
      </w:r>
    </w:p>
    <w:p w14:paraId="7FAFA3C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17.基于学科大概念的中小学信息科技课堂教学研究</w:t>
      </w:r>
    </w:p>
    <w:p w14:paraId="4E09C2D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18.中小学生利用校外数字场景培养数字素养与技能的研究</w:t>
      </w:r>
    </w:p>
    <w:p w14:paraId="719E960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19.信息科技教师专业能力提升的政策、理论与实践研究</w:t>
      </w:r>
    </w:p>
    <w:p w14:paraId="2C0516C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20.中小学信息科技跨学科主题教学研究</w:t>
      </w:r>
    </w:p>
    <w:p w14:paraId="1E22C51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21.思想政治融入中小学信息科技课程研究</w:t>
      </w:r>
    </w:p>
    <w:p w14:paraId="1427F1B8">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kern w:val="0"/>
          <w:sz w:val="32"/>
          <w:szCs w:val="32"/>
        </w:rPr>
        <w:t>十五</w:t>
      </w:r>
      <w:r>
        <w:rPr>
          <w:rFonts w:hint="eastAsia" w:ascii="黑体" w:hAnsi="黑体" w:eastAsia="黑体" w:cs="黑体"/>
          <w:snapToGrid w:val="0"/>
          <w:color w:val="000000" w:themeColor="text1"/>
          <w:kern w:val="0"/>
          <w:sz w:val="32"/>
          <w:szCs w:val="32"/>
        </w:rPr>
        <w:t>、技术与工程</w:t>
      </w:r>
    </w:p>
    <w:p w14:paraId="33F4E8F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w:t>
      </w:r>
      <w:r>
        <w:rPr>
          <w:rFonts w:hint="eastAsia" w:ascii="仿宋_GB2312" w:hAnsi="仿宋" w:eastAsia="仿宋_GB2312" w:cs="仿宋"/>
          <w:snapToGrid w:val="0"/>
          <w:color w:val="000000" w:themeColor="text1"/>
          <w:kern w:val="0"/>
          <w:sz w:val="32"/>
          <w:szCs w:val="32"/>
        </w:rPr>
        <w:t>技术与工程课程实施策略研究</w:t>
      </w:r>
    </w:p>
    <w:p w14:paraId="7ACB95D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w:t>
      </w:r>
      <w:r>
        <w:rPr>
          <w:rFonts w:hint="eastAsia" w:ascii="仿宋_GB2312" w:hAnsi="仿宋" w:eastAsia="仿宋_GB2312" w:cs="仿宋"/>
          <w:snapToGrid w:val="0"/>
          <w:color w:val="000000" w:themeColor="text1"/>
          <w:kern w:val="0"/>
          <w:sz w:val="32"/>
          <w:szCs w:val="32"/>
        </w:rPr>
        <w:t>技术与工程课程师资建设研究</w:t>
      </w:r>
    </w:p>
    <w:p w14:paraId="650FBDF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w:t>
      </w:r>
      <w:r>
        <w:rPr>
          <w:rFonts w:hint="eastAsia" w:ascii="仿宋_GB2312" w:hAnsi="仿宋" w:eastAsia="仿宋_GB2312" w:cs="仿宋"/>
          <w:snapToGrid w:val="0"/>
          <w:color w:val="000000" w:themeColor="text1"/>
          <w:kern w:val="0"/>
          <w:sz w:val="32"/>
          <w:szCs w:val="32"/>
        </w:rPr>
        <w:t>技术与工程课程评价研究</w:t>
      </w:r>
    </w:p>
    <w:p w14:paraId="219714B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4.</w:t>
      </w:r>
      <w:r>
        <w:rPr>
          <w:rFonts w:hint="eastAsia" w:ascii="仿宋_GB2312" w:hAnsi="仿宋" w:eastAsia="仿宋_GB2312" w:cs="仿宋"/>
          <w:snapToGrid w:val="0"/>
          <w:color w:val="000000" w:themeColor="text1"/>
          <w:kern w:val="0"/>
          <w:sz w:val="32"/>
          <w:szCs w:val="32"/>
        </w:rPr>
        <w:t>技术与工程教育教学模式研究</w:t>
      </w:r>
    </w:p>
    <w:p w14:paraId="21C7A56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w:t>
      </w:r>
      <w:r>
        <w:rPr>
          <w:rFonts w:hint="eastAsia" w:ascii="仿宋_GB2312" w:hAnsi="仿宋" w:eastAsia="仿宋_GB2312" w:cs="仿宋"/>
          <w:snapToGrid w:val="0"/>
          <w:color w:val="000000" w:themeColor="text1"/>
          <w:kern w:val="0"/>
          <w:sz w:val="32"/>
          <w:szCs w:val="32"/>
        </w:rPr>
        <w:t>技术与工程教室装备研究</w:t>
      </w:r>
    </w:p>
    <w:p w14:paraId="1116A75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w:t>
      </w:r>
      <w:r>
        <w:rPr>
          <w:rFonts w:hint="eastAsia" w:ascii="仿宋_GB2312" w:hAnsi="仿宋" w:eastAsia="仿宋_GB2312" w:cs="仿宋"/>
          <w:snapToGrid w:val="0"/>
          <w:color w:val="000000" w:themeColor="text1"/>
          <w:kern w:val="0"/>
          <w:sz w:val="32"/>
          <w:szCs w:val="32"/>
        </w:rPr>
        <w:t>技术与工程课程的政策保障机制研究</w:t>
      </w:r>
    </w:p>
    <w:p w14:paraId="5FBF502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7.</w:t>
      </w:r>
      <w:r>
        <w:rPr>
          <w:rFonts w:hint="eastAsia" w:ascii="仿宋_GB2312" w:hAnsi="仿宋" w:eastAsia="仿宋_GB2312" w:cs="仿宋"/>
          <w:snapToGrid w:val="0"/>
          <w:color w:val="000000" w:themeColor="text1"/>
          <w:kern w:val="0"/>
          <w:sz w:val="32"/>
          <w:szCs w:val="32"/>
        </w:rPr>
        <w:t>中学生技术设计与创新教育研究</w:t>
      </w:r>
    </w:p>
    <w:p w14:paraId="2941E442">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十六、体育与健康</w:t>
      </w:r>
    </w:p>
    <w:p w14:paraId="33F6769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1.“双减”背景下高效体育课堂研究</w:t>
      </w:r>
    </w:p>
    <w:p w14:paraId="46D437F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2.体育与健康跨学科主题学习设计与研究</w:t>
      </w:r>
    </w:p>
    <w:p w14:paraId="35864E1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 xml:space="preserve">3.体育与健康课程在传承中华优秀传统文化中作用研究 </w:t>
      </w:r>
    </w:p>
    <w:p w14:paraId="6CC4340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4.体育教学内容改革的实验研究</w:t>
      </w:r>
    </w:p>
    <w:p w14:paraId="55BE2B3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5.体育教学中促进学生体能发展的实验研究</w:t>
      </w:r>
    </w:p>
    <w:p w14:paraId="73E29A9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6.基本运动技能对培养学生核心素养意义和价值的研究</w:t>
      </w:r>
    </w:p>
    <w:p w14:paraId="0917FC7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7.跨学科主题教育对学生身心发展影响的研究</w:t>
      </w:r>
    </w:p>
    <w:p w14:paraId="7DB15B4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8.运</w:t>
      </w:r>
      <w:r>
        <w:rPr>
          <w:rFonts w:hint="eastAsia" w:ascii="仿宋_GB2312" w:hAnsi="仿宋" w:eastAsia="仿宋_GB2312" w:cs="仿宋"/>
          <w:snapToGrid w:val="0"/>
          <w:spacing w:val="-6"/>
          <w:kern w:val="0"/>
          <w:sz w:val="32"/>
          <w:szCs w:val="32"/>
        </w:rPr>
        <w:t>用健康教育促进学生健康意识和良好的生活方式的研究</w:t>
      </w:r>
    </w:p>
    <w:p w14:paraId="74D2D90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9.校园足球教学研究</w:t>
      </w:r>
    </w:p>
    <w:p w14:paraId="5D8BF8E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体育教学中教学资源改革的实验研究</w:t>
      </w:r>
    </w:p>
    <w:p w14:paraId="27B2362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高中体育与健康教学计划的研究</w:t>
      </w:r>
    </w:p>
    <w:p w14:paraId="06BED2E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高中体育与健康教学方式及教学策略研究</w:t>
      </w:r>
    </w:p>
    <w:p w14:paraId="20FF1A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中小学体育教师专业发展策略研究</w:t>
      </w:r>
    </w:p>
    <w:p w14:paraId="39D7C3F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14</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培育学生体育学科核心素养策略研究</w:t>
      </w:r>
    </w:p>
    <w:p w14:paraId="191DA92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15</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社会主义核心价值观融入体育与健康学科的研究</w:t>
      </w:r>
    </w:p>
    <w:p w14:paraId="557E4E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16</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体育运动在家庭教育中的作用研究</w:t>
      </w:r>
    </w:p>
    <w:p w14:paraId="186F89C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17</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中小学体育社团活动开发与实施策略研究</w:t>
      </w:r>
    </w:p>
    <w:p w14:paraId="081B365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shd w:val="clear" w:color="auto" w:fill="FFFFFF"/>
        </w:rPr>
      </w:pPr>
      <w:r>
        <w:rPr>
          <w:rFonts w:hint="eastAsia" w:ascii="仿宋_GB2312" w:hAnsi="仿宋" w:eastAsia="仿宋_GB2312" w:cs="仿宋"/>
          <w:snapToGrid w:val="0"/>
          <w:color w:val="000000" w:themeColor="text1"/>
          <w:kern w:val="0"/>
          <w:sz w:val="32"/>
          <w:szCs w:val="32"/>
        </w:rPr>
        <w:t>18</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健康教育学业质量研究</w:t>
      </w:r>
    </w:p>
    <w:p w14:paraId="53D3D6D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19</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体育课程评价方法研究</w:t>
      </w:r>
    </w:p>
    <w:p w14:paraId="704FEA5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20</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基于运动技能的学业质量研究</w:t>
      </w:r>
    </w:p>
    <w:p w14:paraId="61FB98D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基于体能的学业质量研究</w:t>
      </w:r>
    </w:p>
    <w:p w14:paraId="5BC5C09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22</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基于健康教育的学业质量研究</w:t>
      </w:r>
    </w:p>
    <w:p w14:paraId="2D3CF0C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23</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基于专项运动技能的学业质量研究</w:t>
      </w:r>
    </w:p>
    <w:p w14:paraId="2A34854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24.健康教育教学常见问题及对策探究</w:t>
      </w:r>
    </w:p>
    <w:p w14:paraId="4211566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25.体育与健康大单元教学的设计与研究</w:t>
      </w:r>
    </w:p>
    <w:p w14:paraId="4C34FAE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26.体育与健康大单元教学资源开发</w:t>
      </w:r>
    </w:p>
    <w:p w14:paraId="29E3EA95">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十七、音乐</w:t>
      </w:r>
    </w:p>
    <w:p w14:paraId="3D19733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w:t>
      </w:r>
      <w:r>
        <w:rPr>
          <w:rFonts w:hint="eastAsia" w:ascii="仿宋_GB2312" w:hAnsi="仿宋" w:eastAsia="仿宋_GB2312" w:cs="仿宋"/>
          <w:snapToGrid w:val="0"/>
          <w:color w:val="000000" w:themeColor="text1"/>
          <w:kern w:val="0"/>
          <w:sz w:val="32"/>
          <w:szCs w:val="32"/>
        </w:rPr>
        <w:t>音乐兼职教师培训策略研究</w:t>
      </w:r>
    </w:p>
    <w:p w14:paraId="3DA91AC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w:t>
      </w:r>
      <w:r>
        <w:rPr>
          <w:rFonts w:hint="eastAsia" w:ascii="仿宋_GB2312" w:hAnsi="仿宋" w:eastAsia="仿宋_GB2312" w:cs="仿宋"/>
          <w:snapToGrid w:val="0"/>
          <w:color w:val="000000" w:themeColor="text1"/>
          <w:kern w:val="0"/>
          <w:sz w:val="32"/>
          <w:szCs w:val="32"/>
        </w:rPr>
        <w:t>中小学音乐课堂教学评价方式研究</w:t>
      </w:r>
    </w:p>
    <w:p w14:paraId="2F25DA8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w:t>
      </w:r>
      <w:r>
        <w:rPr>
          <w:rFonts w:hint="eastAsia" w:ascii="仿宋_GB2312" w:hAnsi="仿宋" w:eastAsia="仿宋_GB2312" w:cs="仿宋"/>
          <w:snapToGrid w:val="0"/>
          <w:color w:val="000000" w:themeColor="text1"/>
          <w:kern w:val="0"/>
          <w:sz w:val="32"/>
          <w:szCs w:val="32"/>
        </w:rPr>
        <w:t>学生艺术素质评价方式研究</w:t>
      </w:r>
    </w:p>
    <w:p w14:paraId="0AAA5A8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4.</w:t>
      </w:r>
      <w:r>
        <w:rPr>
          <w:rFonts w:hint="eastAsia" w:ascii="仿宋_GB2312" w:hAnsi="仿宋" w:eastAsia="仿宋_GB2312" w:cs="仿宋"/>
          <w:snapToGrid w:val="0"/>
          <w:color w:val="000000" w:themeColor="text1"/>
          <w:kern w:val="0"/>
          <w:sz w:val="32"/>
          <w:szCs w:val="32"/>
        </w:rPr>
        <w:t>提高小学生音乐表现力的研究</w:t>
      </w:r>
    </w:p>
    <w:p w14:paraId="6029CF9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w:t>
      </w:r>
      <w:r>
        <w:rPr>
          <w:rFonts w:hint="eastAsia" w:ascii="仿宋_GB2312" w:hAnsi="仿宋" w:eastAsia="仿宋_GB2312" w:cs="仿宋"/>
          <w:snapToGrid w:val="0"/>
          <w:color w:val="000000" w:themeColor="text1"/>
          <w:kern w:val="0"/>
          <w:sz w:val="32"/>
          <w:szCs w:val="32"/>
        </w:rPr>
        <w:t>基于艺术课标下的小学低段唱游教学研究</w:t>
      </w:r>
    </w:p>
    <w:p w14:paraId="412E3B4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w:t>
      </w:r>
      <w:r>
        <w:rPr>
          <w:rFonts w:hint="eastAsia" w:ascii="仿宋_GB2312" w:hAnsi="仿宋" w:eastAsia="仿宋_GB2312" w:cs="仿宋"/>
          <w:snapToGrid w:val="0"/>
          <w:color w:val="000000" w:themeColor="text1"/>
          <w:kern w:val="0"/>
          <w:sz w:val="32"/>
          <w:szCs w:val="32"/>
        </w:rPr>
        <w:t>培育学生音乐核心素养的路径研究</w:t>
      </w:r>
    </w:p>
    <w:p w14:paraId="3881548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7.</w:t>
      </w:r>
      <w:r>
        <w:rPr>
          <w:rFonts w:hint="eastAsia" w:ascii="仿宋_GB2312" w:hAnsi="仿宋" w:eastAsia="仿宋_GB2312" w:cs="仿宋"/>
          <w:snapToGrid w:val="0"/>
          <w:color w:val="000000" w:themeColor="text1"/>
          <w:kern w:val="0"/>
          <w:sz w:val="32"/>
          <w:szCs w:val="32"/>
        </w:rPr>
        <w:t>地方音乐资源校本化的研究</w:t>
      </w:r>
    </w:p>
    <w:p w14:paraId="276885B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8.</w:t>
      </w:r>
      <w:r>
        <w:rPr>
          <w:rFonts w:hint="eastAsia" w:ascii="仿宋_GB2312" w:hAnsi="仿宋" w:eastAsia="仿宋_GB2312" w:cs="仿宋"/>
          <w:snapToGrid w:val="0"/>
          <w:color w:val="000000" w:themeColor="text1"/>
          <w:kern w:val="0"/>
          <w:sz w:val="32"/>
          <w:szCs w:val="32"/>
        </w:rPr>
        <w:t>高中音乐新课程必修模块教学实践研究</w:t>
      </w:r>
    </w:p>
    <w:p w14:paraId="5FA85DA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9.</w:t>
      </w:r>
      <w:r>
        <w:rPr>
          <w:rFonts w:hint="eastAsia" w:ascii="仿宋_GB2312" w:hAnsi="仿宋" w:eastAsia="仿宋_GB2312" w:cs="仿宋"/>
          <w:snapToGrid w:val="0"/>
          <w:color w:val="000000" w:themeColor="text1"/>
          <w:kern w:val="0"/>
          <w:sz w:val="32"/>
          <w:szCs w:val="32"/>
        </w:rPr>
        <w:t>高中音乐新课程必修模块教学评价方式的研究</w:t>
      </w:r>
    </w:p>
    <w:p w14:paraId="058663D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10.</w:t>
      </w:r>
      <w:r>
        <w:rPr>
          <w:rFonts w:hint="eastAsia" w:ascii="仿宋_GB2312" w:hAnsi="仿宋" w:eastAsia="仿宋_GB2312" w:cs="仿宋"/>
          <w:snapToGrid w:val="0"/>
          <w:color w:val="000000" w:themeColor="text1"/>
          <w:kern w:val="0"/>
          <w:sz w:val="32"/>
          <w:szCs w:val="32"/>
        </w:rPr>
        <w:t>高中生音乐选课指导研究</w:t>
      </w:r>
    </w:p>
    <w:p w14:paraId="0499CA2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11.“双减”政策</w:t>
      </w:r>
      <w:r>
        <w:rPr>
          <w:rFonts w:hint="eastAsia" w:ascii="仿宋_GB2312" w:hAnsi="仿宋" w:eastAsia="仿宋_GB2312" w:cs="仿宋"/>
          <w:snapToGrid w:val="0"/>
          <w:color w:val="000000" w:themeColor="text1"/>
          <w:kern w:val="0"/>
          <w:sz w:val="32"/>
          <w:szCs w:val="32"/>
        </w:rPr>
        <w:t>下音乐课程与社团一体化的研究</w:t>
      </w:r>
    </w:p>
    <w:p w14:paraId="5466960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12.</w:t>
      </w:r>
      <w:r>
        <w:rPr>
          <w:rFonts w:hint="eastAsia" w:ascii="仿宋_GB2312" w:hAnsi="仿宋" w:eastAsia="仿宋_GB2312" w:cs="仿宋"/>
          <w:snapToGrid w:val="0"/>
          <w:color w:val="000000" w:themeColor="text1"/>
          <w:kern w:val="0"/>
          <w:sz w:val="32"/>
          <w:szCs w:val="32"/>
        </w:rPr>
        <w:t>中小学校音乐社团（合唱团、管乐团、戏剧社、舞蹈队）建设的研究</w:t>
      </w:r>
    </w:p>
    <w:p w14:paraId="5BE1C03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13.</w:t>
      </w:r>
      <w:r>
        <w:rPr>
          <w:rFonts w:hint="eastAsia" w:ascii="仿宋_GB2312" w:hAnsi="仿宋" w:eastAsia="仿宋_GB2312" w:cs="仿宋"/>
          <w:snapToGrid w:val="0"/>
          <w:color w:val="000000" w:themeColor="text1"/>
          <w:kern w:val="0"/>
          <w:sz w:val="32"/>
          <w:szCs w:val="32"/>
        </w:rPr>
        <w:t>中国民族民间音乐教学策略的研究</w:t>
      </w:r>
    </w:p>
    <w:p w14:paraId="061926F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14.</w:t>
      </w:r>
      <w:r>
        <w:rPr>
          <w:rFonts w:hint="eastAsia" w:ascii="仿宋_GB2312" w:hAnsi="仿宋" w:eastAsia="仿宋_GB2312" w:cs="仿宋"/>
          <w:snapToGrid w:val="0"/>
          <w:color w:val="000000" w:themeColor="text1"/>
          <w:kern w:val="0"/>
          <w:sz w:val="32"/>
          <w:szCs w:val="32"/>
        </w:rPr>
        <w:t>民乐教学在传统文化传承中的优势研究</w:t>
      </w:r>
    </w:p>
    <w:p w14:paraId="223A75E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15.</w:t>
      </w:r>
      <w:r>
        <w:rPr>
          <w:rFonts w:hint="eastAsia" w:ascii="仿宋_GB2312" w:hAnsi="仿宋" w:eastAsia="仿宋_GB2312" w:cs="仿宋"/>
          <w:snapToGrid w:val="0"/>
          <w:color w:val="000000" w:themeColor="text1"/>
          <w:kern w:val="0"/>
          <w:sz w:val="32"/>
          <w:szCs w:val="32"/>
        </w:rPr>
        <w:t>音乐课“立德树人”“以美育人”的方法和途径研究</w:t>
      </w:r>
    </w:p>
    <w:p w14:paraId="2C00255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16.</w:t>
      </w:r>
      <w:r>
        <w:rPr>
          <w:rFonts w:hint="eastAsia" w:ascii="仿宋_GB2312" w:hAnsi="仿宋" w:eastAsia="仿宋_GB2312" w:cs="仿宋"/>
          <w:snapToGrid w:val="0"/>
          <w:color w:val="000000" w:themeColor="text1"/>
          <w:kern w:val="0"/>
          <w:sz w:val="32"/>
          <w:szCs w:val="32"/>
        </w:rPr>
        <w:t>“红歌”育人方式的研究</w:t>
      </w:r>
    </w:p>
    <w:p w14:paraId="607F45C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17.</w:t>
      </w:r>
      <w:r>
        <w:rPr>
          <w:rFonts w:hint="eastAsia" w:ascii="仿宋_GB2312" w:hAnsi="仿宋" w:eastAsia="仿宋_GB2312" w:cs="仿宋"/>
          <w:snapToGrid w:val="0"/>
          <w:color w:val="000000" w:themeColor="text1"/>
          <w:kern w:val="0"/>
          <w:sz w:val="32"/>
          <w:szCs w:val="32"/>
        </w:rPr>
        <w:t>民族民间音乐课程资源融入音乐课堂教学的实践研究</w:t>
      </w:r>
    </w:p>
    <w:p w14:paraId="2DCB5BD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18.</w:t>
      </w:r>
      <w:r>
        <w:rPr>
          <w:rFonts w:hint="eastAsia" w:ascii="仿宋_GB2312" w:hAnsi="仿宋" w:eastAsia="仿宋_GB2312" w:cs="仿宋"/>
          <w:snapToGrid w:val="0"/>
          <w:color w:val="000000" w:themeColor="text1"/>
          <w:kern w:val="0"/>
          <w:sz w:val="32"/>
          <w:szCs w:val="32"/>
        </w:rPr>
        <w:t>艺</w:t>
      </w:r>
      <w:r>
        <w:rPr>
          <w:rFonts w:hint="eastAsia" w:ascii="仿宋_GB2312" w:hAnsi="仿宋" w:eastAsia="仿宋_GB2312" w:cs="仿宋"/>
          <w:snapToGrid w:val="0"/>
          <w:color w:val="000000" w:themeColor="text1"/>
          <w:spacing w:val="-6"/>
          <w:kern w:val="0"/>
          <w:sz w:val="32"/>
          <w:szCs w:val="32"/>
        </w:rPr>
        <w:t>术“新三科”戏剧（戏曲）、舞蹈、影视教学实践研究</w:t>
      </w:r>
    </w:p>
    <w:p w14:paraId="2C5F074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19</w:t>
      </w:r>
      <w:r>
        <w:rPr>
          <w:rFonts w:hint="eastAsia" w:ascii="仿宋_GB2312" w:hAnsi="仿宋" w:eastAsia="仿宋_GB2312" w:cs="仿宋"/>
          <w:snapToGrid w:val="0"/>
          <w:color w:val="000000" w:themeColor="text1"/>
          <w:kern w:val="0"/>
          <w:sz w:val="32"/>
          <w:szCs w:val="32"/>
        </w:rPr>
        <w:t>.非物质文化遗产进入中小学音乐课堂教学的实践研究</w:t>
      </w:r>
    </w:p>
    <w:p w14:paraId="21BEF35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20</w:t>
      </w:r>
      <w:r>
        <w:rPr>
          <w:rFonts w:hint="eastAsia" w:ascii="仿宋_GB2312" w:hAnsi="仿宋" w:eastAsia="仿宋_GB2312" w:cs="仿宋"/>
          <w:snapToGrid w:val="0"/>
          <w:color w:val="000000" w:themeColor="text1"/>
          <w:kern w:val="0"/>
          <w:sz w:val="32"/>
          <w:szCs w:val="32"/>
        </w:rPr>
        <w:t>.新时期音乐区域教研信息化研究</w:t>
      </w:r>
    </w:p>
    <w:p w14:paraId="611FD771">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21.数智化视角下音乐课堂教学评价新模式构建</w:t>
      </w:r>
    </w:p>
    <w:p w14:paraId="166FD4D9">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十八、美术</w:t>
      </w:r>
    </w:p>
    <w:p w14:paraId="2814DAC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w:t>
      </w:r>
      <w:r>
        <w:rPr>
          <w:rFonts w:hint="eastAsia" w:ascii="仿宋_GB2312" w:hAnsi="仿宋" w:eastAsia="仿宋_GB2312" w:cs="仿宋"/>
          <w:snapToGrid w:val="0"/>
          <w:color w:val="000000" w:themeColor="text1"/>
          <w:kern w:val="0"/>
          <w:sz w:val="32"/>
          <w:szCs w:val="32"/>
        </w:rPr>
        <w:t>.以素养为本的美术教师教育课程改革与实践</w:t>
      </w:r>
    </w:p>
    <w:p w14:paraId="6FA3874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w:t>
      </w:r>
      <w:r>
        <w:rPr>
          <w:rFonts w:hint="eastAsia" w:ascii="仿宋_GB2312" w:hAnsi="仿宋" w:eastAsia="仿宋_GB2312" w:cs="仿宋"/>
          <w:snapToGrid w:val="0"/>
          <w:color w:val="000000" w:themeColor="text1"/>
          <w:kern w:val="0"/>
          <w:sz w:val="32"/>
          <w:szCs w:val="32"/>
        </w:rPr>
        <w:t>.新课标下美术单元课程的研发与实施策略研究</w:t>
      </w:r>
    </w:p>
    <w:p w14:paraId="1DA6C1F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w:t>
      </w:r>
      <w:r>
        <w:rPr>
          <w:rFonts w:hint="eastAsia" w:ascii="仿宋_GB2312" w:hAnsi="仿宋" w:eastAsia="仿宋_GB2312" w:cs="仿宋"/>
          <w:snapToGrid w:val="0"/>
          <w:color w:val="000000" w:themeColor="text1"/>
          <w:kern w:val="0"/>
          <w:sz w:val="32"/>
          <w:szCs w:val="32"/>
        </w:rPr>
        <w:t>.艺术课程标准背景下的美术教学设计研究</w:t>
      </w:r>
    </w:p>
    <w:p w14:paraId="2B1F9D88">
      <w:pPr>
        <w:tabs>
          <w:tab w:val="left" w:pos="984"/>
        </w:tabs>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4</w:t>
      </w:r>
      <w:r>
        <w:rPr>
          <w:rFonts w:hint="eastAsia" w:ascii="仿宋_GB2312" w:hAnsi="仿宋" w:eastAsia="仿宋_GB2312" w:cs="仿宋"/>
          <w:snapToGrid w:val="0"/>
          <w:color w:val="000000" w:themeColor="text1"/>
          <w:kern w:val="0"/>
          <w:sz w:val="32"/>
          <w:szCs w:val="32"/>
        </w:rPr>
        <w:t>.基于学科融合的美术大单元教学设计研究</w:t>
      </w:r>
    </w:p>
    <w:p w14:paraId="0FDF205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w:t>
      </w:r>
      <w:r>
        <w:rPr>
          <w:rFonts w:hint="eastAsia" w:ascii="仿宋_GB2312" w:hAnsi="仿宋" w:eastAsia="仿宋_GB2312" w:cs="仿宋"/>
          <w:snapToGrid w:val="0"/>
          <w:color w:val="000000" w:themeColor="text1"/>
          <w:kern w:val="0"/>
          <w:sz w:val="32"/>
          <w:szCs w:val="32"/>
        </w:rPr>
        <w:t>.基于理解性教学的美术课程设计研究</w:t>
      </w:r>
    </w:p>
    <w:p w14:paraId="4B7A8E5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6.美术学科“文化理解”核心素养的探索与实践</w:t>
      </w:r>
    </w:p>
    <w:p w14:paraId="17AC487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7.美术教学中项目化学习单的设计与应用探究</w:t>
      </w:r>
    </w:p>
    <w:p w14:paraId="2628C54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8.课后服务中美术课程的开发与实践研究</w:t>
      </w:r>
    </w:p>
    <w:p w14:paraId="2226332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9.探究“双减”政策下美术教育课后服务的实践研究</w:t>
      </w:r>
    </w:p>
    <w:p w14:paraId="06A435E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10.美术教育中的传统文化审美教学策略探究</w:t>
      </w:r>
    </w:p>
    <w:p w14:paraId="1A414C3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11.高中美术鉴赏学习单设计与应用探究</w:t>
      </w:r>
    </w:p>
    <w:p w14:paraId="3307C3C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12.基于数字化资源构建美术教学评价新模式探究</w:t>
      </w:r>
    </w:p>
    <w:p w14:paraId="5EB9EE2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13.“电子档案袋评价”在美术教学中的应用探究</w:t>
      </w:r>
    </w:p>
    <w:p w14:paraId="0140C90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14.美术学科情境教学的思维培养策略研究</w:t>
      </w:r>
    </w:p>
    <w:p w14:paraId="42A1548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15.美术教育绘画与自然融合教学研究</w:t>
      </w:r>
    </w:p>
    <w:p w14:paraId="364C38F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16.美术教学中书法教学常见问题及对策探究</w:t>
      </w:r>
    </w:p>
    <w:p w14:paraId="48C477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17.美育与校园文化建设的融合探索</w:t>
      </w:r>
    </w:p>
    <w:p w14:paraId="1E6D4EC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18.美术课堂项目式学习活动的教学样态研究</w:t>
      </w:r>
    </w:p>
    <w:p w14:paraId="214E28E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19.数智化环境下的美术教学改革与创新研究</w:t>
      </w:r>
      <w:r>
        <w:rPr>
          <w:rFonts w:hint="eastAsia" w:ascii="仿宋_GB2312" w:hAnsi="仿宋" w:eastAsia="仿宋_GB2312" w:cs="仿宋"/>
          <w:snapToGrid w:val="0"/>
          <w:color w:val="000000" w:themeColor="text1"/>
          <w:kern w:val="0"/>
          <w:sz w:val="32"/>
          <w:szCs w:val="32"/>
        </w:rPr>
        <w:tab/>
      </w:r>
    </w:p>
    <w:p w14:paraId="5AA5107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20.基于深度学习的美术课堂有效设问研究</w:t>
      </w:r>
    </w:p>
    <w:p w14:paraId="3C7C9B9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21.基于创新思维发展的美术课程设计研究</w:t>
      </w:r>
    </w:p>
    <w:p w14:paraId="7868A11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22.美术教育中人文精神和德育渗透的途径研究</w:t>
      </w:r>
    </w:p>
    <w:p w14:paraId="635B749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23.单元教学视域下的美术学科育人课程实践研究</w:t>
      </w:r>
    </w:p>
    <w:p w14:paraId="71675BC1">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十九、劳动</w:t>
      </w:r>
    </w:p>
    <w:p w14:paraId="12C78F7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1.习近平总书记关于劳动教育重要论述的研究</w:t>
      </w:r>
    </w:p>
    <w:p w14:paraId="0815C52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2.劳动教育促进学生全面发展研究</w:t>
      </w:r>
    </w:p>
    <w:p w14:paraId="711A952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3.加强和改进新时代中小学校劳动教育研究</w:t>
      </w:r>
    </w:p>
    <w:p w14:paraId="0AE4668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4.建立全面实施劳动教育的长效机制研究</w:t>
      </w:r>
    </w:p>
    <w:p w14:paraId="78973C1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w:t>
      </w:r>
      <w:r>
        <w:rPr>
          <w:rFonts w:hint="eastAsia" w:ascii="仿宋_GB2312" w:hAnsi="仿宋" w:eastAsia="仿宋_GB2312" w:cs="仿宋"/>
          <w:snapToGrid w:val="0"/>
          <w:color w:val="000000" w:themeColor="text1"/>
          <w:spacing w:val="-8"/>
          <w:kern w:val="0"/>
          <w:sz w:val="32"/>
          <w:szCs w:val="32"/>
        </w:rPr>
        <w:t>义务教育劳动课程标准（2022年版2025年修订）》实施研究</w:t>
      </w:r>
    </w:p>
    <w:p w14:paraId="2014167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6.劳动课程培育学生核心素养研究</w:t>
      </w:r>
    </w:p>
    <w:p w14:paraId="0D46D70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7.劳动课程教学方法与策略的研究</w:t>
      </w:r>
    </w:p>
    <w:p w14:paraId="1209BD6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8.劳动课程分学段培养目标、教学目标研究</w:t>
      </w:r>
    </w:p>
    <w:p w14:paraId="2F7A347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9.劳动课程教学模式研究</w:t>
      </w:r>
    </w:p>
    <w:p w14:paraId="67CA060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10.劳动课程教师队伍建设研究</w:t>
      </w:r>
    </w:p>
    <w:p w14:paraId="6C3B72A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11.劳动课程资源的开发、整合与利用研究</w:t>
      </w:r>
    </w:p>
    <w:p w14:paraId="120F0CE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12.基于课程标准的劳动项目开发研究</w:t>
      </w:r>
    </w:p>
    <w:p w14:paraId="2D48090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13.中小学校劳动周的研究与实践</w:t>
      </w:r>
    </w:p>
    <w:p w14:paraId="09CC1AF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14.劳动教育场地、基地建设研究</w:t>
      </w:r>
    </w:p>
    <w:p w14:paraId="32B83EB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15.学校与家庭、社区协同开展劳动教育的研究与实践</w:t>
      </w:r>
    </w:p>
    <w:p w14:paraId="30C9A70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16.中小学生劳动教育与劳动课程评价研究</w:t>
      </w:r>
    </w:p>
    <w:p w14:paraId="308D510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spacing w:val="-6"/>
          <w:kern w:val="0"/>
          <w:sz w:val="32"/>
          <w:szCs w:val="32"/>
        </w:rPr>
      </w:pPr>
      <w:r>
        <w:rPr>
          <w:rFonts w:hint="eastAsia" w:ascii="仿宋_GB2312" w:hAnsi="仿宋" w:eastAsia="仿宋_GB2312" w:cs="仿宋"/>
          <w:snapToGrid w:val="0"/>
          <w:color w:val="000000" w:themeColor="text1"/>
          <w:kern w:val="0"/>
          <w:sz w:val="32"/>
          <w:szCs w:val="32"/>
        </w:rPr>
        <w:t>17.融</w:t>
      </w:r>
      <w:r>
        <w:rPr>
          <w:rFonts w:hint="eastAsia" w:ascii="仿宋_GB2312" w:hAnsi="仿宋" w:eastAsia="仿宋_GB2312" w:cs="仿宋"/>
          <w:snapToGrid w:val="0"/>
          <w:color w:val="000000" w:themeColor="text1"/>
          <w:spacing w:val="-6"/>
          <w:kern w:val="0"/>
          <w:sz w:val="32"/>
          <w:szCs w:val="32"/>
        </w:rPr>
        <w:t>合教育背景下农村学校劳动教育本土化开发与实践研究</w:t>
      </w:r>
    </w:p>
    <w:p w14:paraId="693D989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18.学生家庭劳动作业设计与实践研究</w:t>
      </w:r>
    </w:p>
    <w:p w14:paraId="0B43872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19.培智学校劳动教育对学生生活自理能力影响的实践研究</w:t>
      </w:r>
    </w:p>
    <w:p w14:paraId="26A7DD5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20.“双减”政策背景下加强课后劳动教育策略研究</w:t>
      </w:r>
    </w:p>
    <w:p w14:paraId="7D4C05F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21.开发中小学劳动教育区域课程的实践研究</w:t>
      </w:r>
    </w:p>
    <w:p w14:paraId="3A488AA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22.劳动教育与红色文化教育结合模式的研究</w:t>
      </w:r>
    </w:p>
    <w:p w14:paraId="18A9656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23.中小学生劳动技术能力培养研究</w:t>
      </w:r>
    </w:p>
    <w:p w14:paraId="7F4ACA1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24.综合实践活动与劳动课程关系与相互促进的研究</w:t>
      </w:r>
    </w:p>
    <w:p w14:paraId="7E764B6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25.劳动教育安全保障机制研究</w:t>
      </w:r>
    </w:p>
    <w:p w14:paraId="4D80548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26.劳动教育中体现生态文明教育的实践研究</w:t>
      </w:r>
    </w:p>
    <w:p w14:paraId="3792940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27.中国传统节日习俗在新时代劳动课程中的结合研究</w:t>
      </w:r>
    </w:p>
    <w:p w14:paraId="7D741DC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28.劳动课程教师建设创新研究</w:t>
      </w:r>
    </w:p>
    <w:p w14:paraId="44FEB951">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二十、综合实践活动</w:t>
      </w:r>
    </w:p>
    <w:p w14:paraId="42A7663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1.</w:t>
      </w:r>
      <w:r>
        <w:rPr>
          <w:rFonts w:hint="eastAsia" w:ascii="仿宋_GB2312" w:hAnsi="仿宋" w:eastAsia="仿宋_GB2312" w:cs="仿宋"/>
          <w:snapToGrid w:val="0"/>
          <w:color w:val="000000" w:themeColor="text1"/>
          <w:kern w:val="0"/>
          <w:sz w:val="32"/>
          <w:szCs w:val="32"/>
        </w:rPr>
        <w:t>综合实践活动课程中本地资源的开发与利用研究</w:t>
      </w:r>
    </w:p>
    <w:p w14:paraId="1600EDB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2.</w:t>
      </w:r>
      <w:r>
        <w:rPr>
          <w:rFonts w:hint="eastAsia" w:ascii="仿宋_GB2312" w:hAnsi="仿宋" w:eastAsia="仿宋_GB2312" w:cs="仿宋"/>
          <w:snapToGrid w:val="0"/>
          <w:color w:val="000000" w:themeColor="text1"/>
          <w:kern w:val="0"/>
          <w:sz w:val="32"/>
          <w:szCs w:val="32"/>
        </w:rPr>
        <w:t>综合实践活动课程管理策略研究</w:t>
      </w:r>
    </w:p>
    <w:p w14:paraId="3B21D48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3.</w:t>
      </w:r>
      <w:r>
        <w:rPr>
          <w:rFonts w:hint="eastAsia" w:ascii="仿宋_GB2312" w:hAnsi="仿宋" w:eastAsia="仿宋_GB2312" w:cs="仿宋"/>
          <w:snapToGrid w:val="0"/>
          <w:color w:val="000000" w:themeColor="text1"/>
          <w:kern w:val="0"/>
          <w:sz w:val="32"/>
          <w:szCs w:val="32"/>
        </w:rPr>
        <w:t>综</w:t>
      </w:r>
      <w:r>
        <w:rPr>
          <w:rFonts w:hint="eastAsia" w:ascii="仿宋_GB2312" w:hAnsi="仿宋" w:eastAsia="仿宋_GB2312" w:cs="仿宋"/>
          <w:snapToGrid w:val="0"/>
          <w:color w:val="000000" w:themeColor="text1"/>
          <w:spacing w:val="-6"/>
          <w:kern w:val="0"/>
          <w:sz w:val="32"/>
          <w:szCs w:val="32"/>
        </w:rPr>
        <w:t>合实践活动与学生社团活动有效整合的管理与实施研究</w:t>
      </w:r>
    </w:p>
    <w:p w14:paraId="01935F0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4.</w:t>
      </w:r>
      <w:r>
        <w:rPr>
          <w:rFonts w:hint="eastAsia" w:ascii="仿宋_GB2312" w:hAnsi="仿宋" w:eastAsia="仿宋_GB2312" w:cs="仿宋"/>
          <w:snapToGrid w:val="0"/>
          <w:color w:val="000000" w:themeColor="text1"/>
          <w:kern w:val="0"/>
          <w:sz w:val="32"/>
          <w:szCs w:val="32"/>
        </w:rPr>
        <w:t>综合实践活动课程方法指导的研究</w:t>
      </w:r>
    </w:p>
    <w:p w14:paraId="586E956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w:t>
      </w:r>
      <w:r>
        <w:rPr>
          <w:rFonts w:hint="eastAsia" w:ascii="仿宋_GB2312" w:hAnsi="仿宋" w:eastAsia="仿宋_GB2312" w:cs="仿宋"/>
          <w:snapToGrid w:val="0"/>
          <w:color w:val="000000" w:themeColor="text1"/>
          <w:kern w:val="0"/>
          <w:sz w:val="32"/>
          <w:szCs w:val="32"/>
        </w:rPr>
        <w:t>综合实践活动课程评价的研究</w:t>
      </w:r>
    </w:p>
    <w:p w14:paraId="05E4180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w:t>
      </w:r>
      <w:r>
        <w:rPr>
          <w:rFonts w:hint="eastAsia" w:ascii="仿宋_GB2312" w:hAnsi="仿宋" w:eastAsia="仿宋_GB2312" w:cs="仿宋"/>
          <w:snapToGrid w:val="0"/>
          <w:color w:val="000000" w:themeColor="text1"/>
          <w:kern w:val="0"/>
          <w:sz w:val="32"/>
          <w:szCs w:val="32"/>
        </w:rPr>
        <w:t>综合实践活动课程有效实施的策略研究</w:t>
      </w:r>
    </w:p>
    <w:p w14:paraId="60F8841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7.</w:t>
      </w:r>
      <w:r>
        <w:rPr>
          <w:rFonts w:hint="eastAsia" w:ascii="仿宋_GB2312" w:hAnsi="仿宋" w:eastAsia="仿宋_GB2312" w:cs="仿宋"/>
          <w:snapToGrid w:val="0"/>
          <w:color w:val="000000" w:themeColor="text1"/>
          <w:kern w:val="0"/>
          <w:sz w:val="32"/>
          <w:szCs w:val="32"/>
        </w:rPr>
        <w:t>综合实践活动课程资源开发研究</w:t>
      </w:r>
    </w:p>
    <w:p w14:paraId="3C18A34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8.跨学科视域下的综合实践活动课程实施研究</w:t>
      </w:r>
    </w:p>
    <w:p w14:paraId="17A5088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9.五育融合视域下的综合实践活动课程设计与实施研究</w:t>
      </w:r>
    </w:p>
    <w:p w14:paraId="7660D0EB">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10.人工智能背景下综合实践活动课程教学改革创新研究</w:t>
      </w:r>
    </w:p>
    <w:p w14:paraId="2DDD83E0">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二十一、特殊教育</w:t>
      </w:r>
    </w:p>
    <w:p w14:paraId="6188266D">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1.特殊教育学校课程内容与教学方法的优化研究</w:t>
      </w:r>
    </w:p>
    <w:p w14:paraId="7247537A">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2.数字化技术赋能特殊教育课堂教学的应用研究</w:t>
      </w:r>
    </w:p>
    <w:p w14:paraId="0761BD81">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3.融合教育视域下特殊教育学校与普通学校合作机制研究</w:t>
      </w:r>
    </w:p>
    <w:p w14:paraId="5B1C789E">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4.融合教育背景下特需学生社会融合支持体系构建研究</w:t>
      </w:r>
    </w:p>
    <w:p w14:paraId="6AFB64BB">
      <w:pPr>
        <w:spacing w:line="585"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5.聚焦特需学生的校家社协同育人机制研究</w:t>
      </w:r>
    </w:p>
    <w:p w14:paraId="3AFE44AA">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rPr>
        <w:t>6.特殊教育送教上门服务质量提升</w:t>
      </w:r>
      <w:r>
        <w:rPr>
          <w:rFonts w:hint="eastAsia" w:ascii="仿宋_GB2312" w:hAnsi="仿宋_GB2312" w:eastAsia="仿宋_GB2312" w:cs="仿宋_GB2312"/>
          <w:color w:val="000000" w:themeColor="text1"/>
          <w:sz w:val="32"/>
          <w:szCs w:val="32"/>
        </w:rPr>
        <w:t>策略与实践研究</w:t>
      </w:r>
    </w:p>
    <w:p w14:paraId="48DE4C2B">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7.特殊教育教师专业发展与培养路径研究</w:t>
      </w:r>
    </w:p>
    <w:p w14:paraId="5478C475">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8.特殊教育学校孤独症儿童问题行为的干预模式构建与循证实践研究</w:t>
      </w:r>
    </w:p>
    <w:p w14:paraId="690B9CFA">
      <w:pPr>
        <w:spacing w:line="585"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9.融合教育背景下特殊需要儿童随班就读支持体系的构建与实践研究</w:t>
      </w:r>
    </w:p>
    <w:p w14:paraId="2B32008E">
      <w:pPr>
        <w:spacing w:line="585" w:lineRule="exact"/>
        <w:ind w:firstLine="640" w:firstLineChars="200"/>
        <w:rPr>
          <w:rFonts w:ascii="仿宋_GB2312" w:hAnsi="仿宋" w:eastAsia="仿宋_GB2312" w:cs="仿宋"/>
          <w:snapToGrid w:val="0"/>
          <w:color w:val="000000" w:themeColor="text1"/>
          <w:kern w:val="0"/>
          <w:sz w:val="32"/>
          <w:szCs w:val="32"/>
        </w:rPr>
      </w:pPr>
      <w:r>
        <w:rPr>
          <w:rFonts w:hint="eastAsia" w:ascii="黑体" w:hAnsi="黑体" w:eastAsia="黑体" w:cs="黑体"/>
          <w:snapToGrid w:val="0"/>
          <w:color w:val="000000" w:themeColor="text1"/>
          <w:kern w:val="0"/>
          <w:sz w:val="32"/>
          <w:szCs w:val="32"/>
        </w:rPr>
        <w:t>二十二、专门教育</w:t>
      </w:r>
    </w:p>
    <w:p w14:paraId="37C67ED6">
      <w:pPr>
        <w:widowControl/>
        <w:spacing w:line="585"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1.未成年人罪错行为分级干预矫治体系的实践路径研究</w:t>
      </w:r>
    </w:p>
    <w:p w14:paraId="331A80C2">
      <w:pPr>
        <w:widowControl/>
        <w:spacing w:line="585"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2.专门学校构建“家校社警”联动矫治模式的研究</w:t>
      </w:r>
    </w:p>
    <w:p w14:paraId="007EC290">
      <w:pPr>
        <w:widowControl/>
        <w:spacing w:line="585"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3.专门学校学生心理健康评估与干预体系构建</w:t>
      </w:r>
    </w:p>
    <w:p w14:paraId="744E9567">
      <w:pPr>
        <w:widowControl/>
        <w:spacing w:line="585"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4.数智化技术在专门教育管理中的应用研究</w:t>
      </w:r>
    </w:p>
    <w:p w14:paraId="5302032D">
      <w:pPr>
        <w:spacing w:line="585" w:lineRule="exact"/>
        <w:ind w:firstLine="640" w:firstLineChars="200"/>
        <w:rPr>
          <w:rFonts w:ascii="仿宋_GB2312" w:hAnsi="仿宋_GB2312" w:eastAsia="仿宋_GB2312" w:cs="仿宋_GB2312"/>
          <w:sz w:val="32"/>
          <w:szCs w:val="32"/>
        </w:rPr>
      </w:pPr>
      <w:r>
        <w:rPr>
          <w:rStyle w:val="10"/>
          <w:rFonts w:hint="eastAsia" w:ascii="仿宋_GB2312" w:hAnsi="仿宋_GB2312" w:eastAsia="仿宋_GB2312" w:cs="仿宋_GB2312"/>
          <w:b w:val="0"/>
          <w:bCs/>
          <w:kern w:val="0"/>
          <w:sz w:val="32"/>
          <w:szCs w:val="32"/>
        </w:rPr>
        <w:t>5.</w:t>
      </w:r>
      <w:r>
        <w:rPr>
          <w:rFonts w:hint="eastAsia" w:ascii="仿宋_GB2312" w:hAnsi="仿宋_GB2312" w:eastAsia="仿宋_GB2312" w:cs="仿宋_GB2312"/>
          <w:kern w:val="0"/>
          <w:sz w:val="32"/>
          <w:szCs w:val="32"/>
        </w:rPr>
        <w:t>专门学校与普通学校衔接机制构建研究</w:t>
      </w:r>
    </w:p>
    <w:p w14:paraId="2713F98A">
      <w:pPr>
        <w:overflowPunct w:val="0"/>
        <w:autoSpaceDE w:val="0"/>
        <w:autoSpaceDN w:val="0"/>
        <w:adjustRightInd w:val="0"/>
        <w:snapToGrid w:val="0"/>
        <w:spacing w:line="585" w:lineRule="exact"/>
        <w:ind w:firstLine="640" w:firstLineChars="200"/>
        <w:textAlignment w:val="baseline"/>
        <w:rPr>
          <w:rFonts w:ascii="黑体" w:hAnsi="黑体" w:eastAsia="黑体" w:cs="仿宋"/>
          <w:snapToGrid w:val="0"/>
          <w:kern w:val="0"/>
          <w:sz w:val="32"/>
          <w:szCs w:val="32"/>
        </w:rPr>
      </w:pPr>
      <w:r>
        <w:rPr>
          <w:rFonts w:hint="eastAsia" w:ascii="黑体" w:hAnsi="黑体" w:eastAsia="黑体" w:cs="仿宋"/>
          <w:snapToGrid w:val="0"/>
          <w:kern w:val="0"/>
          <w:sz w:val="32"/>
          <w:szCs w:val="32"/>
        </w:rPr>
        <w:t>二十三、少先队活动</w:t>
      </w:r>
    </w:p>
    <w:p w14:paraId="657803E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1.习近平总书记关于少年儿童与少先队工作的重要论述研究</w:t>
      </w:r>
    </w:p>
    <w:p w14:paraId="498B0D7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2.贯彻落实《中共中央关于全面加强新时代少先队工作的意见》和中共江西省委实施意见的机制与路径研究</w:t>
      </w:r>
    </w:p>
    <w:p w14:paraId="2B2792E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3.少先队活动课程性质研究</w:t>
      </w:r>
    </w:p>
    <w:p w14:paraId="79BC3BA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4.少先队活动课程理念研究</w:t>
      </w:r>
    </w:p>
    <w:p w14:paraId="6A94FE5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5.少先队活动课程目标和课程内容研究</w:t>
      </w:r>
    </w:p>
    <w:p w14:paraId="6EACC38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6.少先队活动课程形式研究</w:t>
      </w:r>
    </w:p>
    <w:p w14:paraId="026D39E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7.少先队活动课程激励与评价方式研究</w:t>
      </w:r>
    </w:p>
    <w:p w14:paraId="4DD192B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8.少先队活动课程管理与课程保障研究</w:t>
      </w:r>
    </w:p>
    <w:p w14:paraId="34C2715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9.少先队活动课程分学段实施研究</w:t>
      </w:r>
    </w:p>
    <w:p w14:paraId="757E845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10.少先队组织教育、自主教育与实践教育研究</w:t>
      </w:r>
    </w:p>
    <w:p w14:paraId="5DE30AD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11.少先队活动与思政教育一体化建设研究</w:t>
      </w:r>
    </w:p>
    <w:p w14:paraId="1DC5CA9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12.少先队辅导员政治素质与业务能力提升策略研究</w:t>
      </w:r>
    </w:p>
    <w:p w14:paraId="44760CD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13.少先队活动课程资源的利用与开发研究</w:t>
      </w:r>
    </w:p>
    <w:p w14:paraId="19677A4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14.少先队教研体系与教研机制研究</w:t>
      </w:r>
    </w:p>
    <w:p w14:paraId="419FF90E">
      <w:pPr>
        <w:overflowPunct w:val="0"/>
        <w:autoSpaceDE w:val="0"/>
        <w:autoSpaceDN w:val="0"/>
        <w:adjustRightInd w:val="0"/>
        <w:snapToGrid w:val="0"/>
        <w:spacing w:line="585" w:lineRule="exact"/>
        <w:ind w:firstLine="640" w:firstLineChars="200"/>
        <w:textAlignment w:val="baseline"/>
        <w:rPr>
          <w:color w:val="000000" w:themeColor="text1"/>
        </w:rPr>
      </w:pPr>
      <w:r>
        <w:rPr>
          <w:rFonts w:hint="eastAsia" w:ascii="仿宋_GB2312" w:hAnsi="仿宋" w:eastAsia="仿宋_GB2312" w:cs="仿宋"/>
          <w:snapToGrid w:val="0"/>
          <w:color w:val="000000" w:themeColor="text1"/>
          <w:kern w:val="0"/>
          <w:sz w:val="32"/>
          <w:szCs w:val="32"/>
        </w:rPr>
        <w:t>15.学校少先队活动课程整体统筹与系统规划研究</w:t>
      </w:r>
    </w:p>
    <w:p w14:paraId="02F7635E">
      <w:pPr>
        <w:overflowPunct w:val="0"/>
        <w:autoSpaceDE w:val="0"/>
        <w:autoSpaceDN w:val="0"/>
        <w:adjustRightInd w:val="0"/>
        <w:snapToGrid w:val="0"/>
        <w:spacing w:line="585" w:lineRule="exact"/>
        <w:ind w:firstLine="640" w:firstLineChars="200"/>
        <w:textAlignment w:val="baseline"/>
        <w:rPr>
          <w:rFonts w:ascii="黑体" w:hAnsi="黑体" w:eastAsia="黑体" w:cs="仿宋"/>
          <w:snapToGrid w:val="0"/>
          <w:color w:val="000000" w:themeColor="text1"/>
          <w:kern w:val="0"/>
          <w:sz w:val="32"/>
          <w:szCs w:val="32"/>
        </w:rPr>
      </w:pPr>
      <w:r>
        <w:rPr>
          <w:rFonts w:hint="eastAsia" w:ascii="黑体" w:hAnsi="黑体" w:eastAsia="黑体" w:cs="仿宋"/>
          <w:snapToGrid w:val="0"/>
          <w:color w:val="000000" w:themeColor="text1"/>
          <w:kern w:val="0"/>
          <w:sz w:val="32"/>
          <w:szCs w:val="32"/>
        </w:rPr>
        <w:t>二十四、红色文化教育</w:t>
      </w:r>
    </w:p>
    <w:p w14:paraId="7CDDD4F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color w:val="000000" w:themeColor="text1"/>
          <w:kern w:val="0"/>
          <w:sz w:val="32"/>
          <w:szCs w:val="32"/>
        </w:rPr>
        <w:t>1.</w:t>
      </w:r>
      <w:r>
        <w:rPr>
          <w:rFonts w:hint="eastAsia" w:ascii="仿宋_GB2312" w:hAnsi="仿宋" w:eastAsia="仿宋_GB2312" w:cs="仿宋"/>
          <w:snapToGrid w:val="0"/>
          <w:kern w:val="0"/>
          <w:sz w:val="32"/>
          <w:szCs w:val="32"/>
        </w:rPr>
        <w:t>江西省红色基因传承研究与探索</w:t>
      </w:r>
    </w:p>
    <w:p w14:paraId="573BA8B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2.打造江西红色育人高地建设研究</w:t>
      </w:r>
    </w:p>
    <w:p w14:paraId="5B85FA1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3.中小学红色文化教育课程化建设研究</w:t>
      </w:r>
    </w:p>
    <w:p w14:paraId="32E1B69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4.红色文化资源融入各学科教学研究</w:t>
      </w:r>
    </w:p>
    <w:p w14:paraId="5CC3E4B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5.红色文化教育培养目标、教学目标研究</w:t>
      </w:r>
    </w:p>
    <w:p w14:paraId="2E9A781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6.红色文化教育教学模式研究</w:t>
      </w:r>
    </w:p>
    <w:p w14:paraId="0CB322B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7.红色文化教育教师队伍建设研究</w:t>
      </w:r>
    </w:p>
    <w:p w14:paraId="5D65F72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8.教育新技术助力红色文化教育研究</w:t>
      </w:r>
    </w:p>
    <w:p w14:paraId="2F15883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9.红色文化教育校本课程的开发与利用研究</w:t>
      </w:r>
    </w:p>
    <w:p w14:paraId="1B5A34F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10.红色文化教育场地、基地建设研究</w:t>
      </w:r>
    </w:p>
    <w:p w14:paraId="4CD89BE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11.红色文化教育与国家学科课程双向渗透与融合研究</w:t>
      </w:r>
    </w:p>
    <w:p w14:paraId="4A83A05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12.红色文化教育评价与跟踪研究</w:t>
      </w:r>
    </w:p>
    <w:p w14:paraId="07891DE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13.班主任在红色文化育人体系中的机制研究</w:t>
      </w:r>
    </w:p>
    <w:p w14:paraId="31B67E4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14.少先队辅导员在红色文化育人体系中的机制研究</w:t>
      </w:r>
    </w:p>
    <w:p w14:paraId="302E68B4">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二十五、心理健康教育</w:t>
      </w:r>
    </w:p>
    <w:p w14:paraId="0657BAA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1.表达性艺术在中小学心理健康教育中的应用研究</w:t>
      </w:r>
    </w:p>
    <w:p w14:paraId="0ADA860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2.中小学心理健康教育课堂教学艺术研究</w:t>
      </w:r>
    </w:p>
    <w:p w14:paraId="2CE71C6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3.中小学心理健康教育教学资源开发研究</w:t>
      </w:r>
    </w:p>
    <w:p w14:paraId="42B35FA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4.心理健康教育与中小学学科教学融合的研究</w:t>
      </w:r>
    </w:p>
    <w:p w14:paraId="05F6245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5.生涯规划教育与中小学学科教学融合的研究</w:t>
      </w:r>
    </w:p>
    <w:p w14:paraId="7D20A22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6.叙事疗法在心理健康教育中的应用研究</w:t>
      </w:r>
    </w:p>
    <w:p w14:paraId="068A96C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spacing w:val="-8"/>
          <w:kern w:val="0"/>
          <w:sz w:val="32"/>
          <w:szCs w:val="32"/>
        </w:rPr>
      </w:pPr>
      <w:r>
        <w:rPr>
          <w:rFonts w:hint="eastAsia" w:ascii="仿宋_GB2312" w:hAnsi="仿宋" w:eastAsia="仿宋_GB2312" w:cs="仿宋"/>
          <w:snapToGrid w:val="0"/>
          <w:kern w:val="0"/>
          <w:sz w:val="32"/>
          <w:szCs w:val="32"/>
        </w:rPr>
        <w:t>7.</w:t>
      </w:r>
      <w:r>
        <w:rPr>
          <w:rFonts w:hint="eastAsia" w:ascii="仿宋_GB2312" w:hAnsi="仿宋" w:eastAsia="仿宋_GB2312" w:cs="仿宋"/>
          <w:snapToGrid w:val="0"/>
          <w:spacing w:val="-8"/>
          <w:kern w:val="0"/>
          <w:sz w:val="32"/>
          <w:szCs w:val="32"/>
        </w:rPr>
        <w:t>利用心理故事、漫画、电影培育学生核心素养的实效性研究</w:t>
      </w:r>
    </w:p>
    <w:p w14:paraId="527946A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8.校园心理剧在中小学心理健康教育中的应用研究</w:t>
      </w:r>
    </w:p>
    <w:p w14:paraId="0218F1D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9.中小学团体心理辅导操作技术研究</w:t>
      </w:r>
    </w:p>
    <w:p w14:paraId="1B9A452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10.中小学心</w:t>
      </w:r>
      <w:r>
        <w:rPr>
          <w:rFonts w:hint="eastAsia" w:ascii="仿宋_GB2312" w:hAnsi="仿宋" w:eastAsia="仿宋_GB2312" w:cs="仿宋"/>
          <w:snapToGrid w:val="0"/>
          <w:color w:val="000000" w:themeColor="text1"/>
          <w:kern w:val="0"/>
          <w:sz w:val="32"/>
          <w:szCs w:val="32"/>
        </w:rPr>
        <w:t>理健康教</w:t>
      </w:r>
      <w:r>
        <w:rPr>
          <w:rFonts w:hint="eastAsia" w:ascii="仿宋_GB2312" w:hAnsi="仿宋" w:eastAsia="仿宋_GB2312" w:cs="仿宋"/>
          <w:snapToGrid w:val="0"/>
          <w:kern w:val="0"/>
          <w:sz w:val="32"/>
          <w:szCs w:val="32"/>
        </w:rPr>
        <w:t>师应具备的核心素养研究</w:t>
      </w:r>
    </w:p>
    <w:p w14:paraId="65B178C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11.中小学心理健康教育社团模式的实践研究</w:t>
      </w:r>
    </w:p>
    <w:p w14:paraId="3D3D507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12.沙盘游戏在中小学心理健康教育中的运用研究</w:t>
      </w:r>
    </w:p>
    <w:p w14:paraId="1EBFB19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13.中小学家庭教育课程构建的探索与实践</w:t>
      </w:r>
    </w:p>
    <w:p w14:paraId="40160DC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14.中小学心理健康教育与校园文化融合的实践研究</w:t>
      </w:r>
    </w:p>
    <w:p w14:paraId="1B3F807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15.心理辅导技术在促进家校合作中的应用研究</w:t>
      </w:r>
    </w:p>
    <w:p w14:paraId="2E29373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16.中小学心理危机干预的理论与实践研究</w:t>
      </w:r>
    </w:p>
    <w:p w14:paraId="33A345A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17.中小学心理健康教师的生涯发展研究</w:t>
      </w:r>
    </w:p>
    <w:p w14:paraId="12CD9EC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18.生涯规划教育课程核心素养培育策略研究</w:t>
      </w:r>
    </w:p>
    <w:p w14:paraId="6A73CFD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19.生涯规划教育在中学阶段的实践研究</w:t>
      </w:r>
    </w:p>
    <w:p w14:paraId="624870E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20.中小学生常见心理问题的识别、干预与预防模式研究</w:t>
      </w:r>
    </w:p>
    <w:p w14:paraId="7318470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21.积极心理学理念在家校共育实践活动中的运用研究</w:t>
      </w:r>
    </w:p>
    <w:p w14:paraId="3CE2188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22.中小学教师幸福感提升研究</w:t>
      </w:r>
    </w:p>
    <w:p w14:paraId="07D7457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kern w:val="0"/>
          <w:sz w:val="32"/>
          <w:szCs w:val="32"/>
        </w:rPr>
        <w:t>2</w:t>
      </w:r>
      <w:r>
        <w:rPr>
          <w:rFonts w:hint="eastAsia" w:ascii="仿宋_GB2312" w:hAnsi="仿宋" w:eastAsia="仿宋_GB2312" w:cs="仿宋"/>
          <w:snapToGrid w:val="0"/>
          <w:color w:val="000000" w:themeColor="text1"/>
          <w:kern w:val="0"/>
          <w:sz w:val="32"/>
          <w:szCs w:val="32"/>
        </w:rPr>
        <w:t>3.“三新”背景下普通高中学生发展指导实践研究</w:t>
      </w:r>
    </w:p>
    <w:p w14:paraId="25F87D35">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24.“三新”背景下选课指导与学业生涯指导实施研究</w:t>
      </w:r>
    </w:p>
    <w:p w14:paraId="0C6DCDB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25.积极心理学视角下中小学心理健康教育策略研究</w:t>
      </w:r>
    </w:p>
    <w:p w14:paraId="70C70D7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26.中小学心理健康教育校本课程研发与实践研究</w:t>
      </w:r>
    </w:p>
    <w:p w14:paraId="0771A03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27.中小学“五育并举”与心理健康教育的融合与实践研究</w:t>
      </w:r>
    </w:p>
    <w:p w14:paraId="18CD7290">
      <w:pPr>
        <w:overflowPunct w:val="0"/>
        <w:autoSpaceDE w:val="0"/>
        <w:autoSpaceDN w:val="0"/>
        <w:adjustRightInd w:val="0"/>
        <w:snapToGrid w:val="0"/>
        <w:spacing w:line="585" w:lineRule="exact"/>
        <w:ind w:firstLine="640" w:firstLineChars="200"/>
        <w:textAlignment w:val="baseline"/>
        <w:rPr>
          <w:rFonts w:ascii="黑体" w:hAnsi="黑体" w:eastAsia="黑体" w:cs="黑体"/>
          <w:snapToGrid w:val="0"/>
          <w:color w:val="000000" w:themeColor="text1"/>
          <w:kern w:val="0"/>
          <w:sz w:val="32"/>
          <w:szCs w:val="32"/>
        </w:rPr>
      </w:pPr>
      <w:r>
        <w:rPr>
          <w:rFonts w:hint="eastAsia" w:ascii="黑体" w:hAnsi="黑体" w:eastAsia="黑体" w:cs="黑体"/>
          <w:snapToGrid w:val="0"/>
          <w:color w:val="000000" w:themeColor="text1"/>
          <w:kern w:val="0"/>
          <w:sz w:val="32"/>
          <w:szCs w:val="32"/>
        </w:rPr>
        <w:t>二十六、综合类</w:t>
      </w:r>
    </w:p>
    <w:p w14:paraId="1219A68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优质教学资源的开发与应用研究</w:t>
      </w:r>
    </w:p>
    <w:p w14:paraId="73D42F3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w:t>
      </w:r>
      <w:r>
        <w:rPr>
          <w:rFonts w:hint="eastAsia" w:ascii="仿宋_GB2312" w:hAnsi="仿宋" w:eastAsia="仿宋_GB2312" w:cs="仿宋"/>
          <w:snapToGrid w:val="0"/>
          <w:color w:val="000000" w:themeColor="text1"/>
          <w:kern w:val="0"/>
          <w:sz w:val="32"/>
          <w:szCs w:val="32"/>
          <w:shd w:val="clear" w:color="auto" w:fill="FFFFFF"/>
        </w:rPr>
        <w:t>.中小学学科</w:t>
      </w:r>
      <w:r>
        <w:rPr>
          <w:rFonts w:hint="eastAsia" w:ascii="仿宋_GB2312" w:hAnsi="仿宋" w:eastAsia="仿宋_GB2312" w:cs="仿宋"/>
          <w:snapToGrid w:val="0"/>
          <w:color w:val="000000" w:themeColor="text1"/>
          <w:kern w:val="0"/>
          <w:sz w:val="32"/>
          <w:szCs w:val="32"/>
        </w:rPr>
        <w:t>作业设计研究</w:t>
      </w:r>
    </w:p>
    <w:p w14:paraId="1D3B688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3.中小学课后服务研究</w:t>
      </w:r>
    </w:p>
    <w:p w14:paraId="73E9981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4.义务教育优质均衡发展研究</w:t>
      </w:r>
    </w:p>
    <w:p w14:paraId="68708C1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5.人工智能赋能基础教育高质量发展的实践研究</w:t>
      </w:r>
    </w:p>
    <w:p w14:paraId="748473C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w:t>
      </w:r>
      <w:r>
        <w:rPr>
          <w:rFonts w:hint="eastAsia" w:ascii="仿宋_GB2312" w:hAnsi="仿宋" w:eastAsia="仿宋_GB2312" w:cs="仿宋"/>
          <w:snapToGrid w:val="0"/>
          <w:kern w:val="0"/>
          <w:sz w:val="32"/>
          <w:szCs w:val="32"/>
        </w:rPr>
        <w:t>推进校家社协同育人的实践研</w:t>
      </w:r>
      <w:r>
        <w:rPr>
          <w:rFonts w:hint="eastAsia" w:ascii="仿宋_GB2312" w:hAnsi="仿宋" w:eastAsia="仿宋_GB2312" w:cs="仿宋"/>
          <w:snapToGrid w:val="0"/>
          <w:color w:val="000000" w:themeColor="text1"/>
          <w:kern w:val="0"/>
          <w:sz w:val="32"/>
          <w:szCs w:val="32"/>
        </w:rPr>
        <w:t>究</w:t>
      </w:r>
    </w:p>
    <w:p w14:paraId="394DC99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7</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基础教育综合改革研究</w:t>
      </w:r>
    </w:p>
    <w:p w14:paraId="655B00B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8</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构建知行合一育人体系研究</w:t>
      </w:r>
    </w:p>
    <w:p w14:paraId="05D0D04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9</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学校课程资源开发与应用研究</w:t>
      </w:r>
    </w:p>
    <w:p w14:paraId="5A4A039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10</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国家课程的校本化开发与实施研究</w:t>
      </w:r>
    </w:p>
    <w:p w14:paraId="563B984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11.学校校本教研制度构建与实施研究</w:t>
      </w:r>
    </w:p>
    <w:p w14:paraId="006B87B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12</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有效开展校本教研的策略（实践）研究</w:t>
      </w:r>
    </w:p>
    <w:p w14:paraId="02F0226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13</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教研共同体（或名师工作室、优秀教研组）建设研究</w:t>
      </w:r>
    </w:p>
    <w:p w14:paraId="35928DF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14</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区域推进校本教研的行动研究</w:t>
      </w:r>
    </w:p>
    <w:p w14:paraId="20E06EB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15</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kern w:val="0"/>
          <w:sz w:val="32"/>
          <w:szCs w:val="32"/>
        </w:rPr>
        <w:t>中小学校、幼儿园</w:t>
      </w:r>
      <w:r>
        <w:rPr>
          <w:rFonts w:hint="eastAsia" w:ascii="仿宋_GB2312" w:hAnsi="仿宋" w:eastAsia="仿宋_GB2312" w:cs="仿宋"/>
          <w:snapToGrid w:val="0"/>
          <w:color w:val="000000" w:themeColor="text1"/>
          <w:kern w:val="0"/>
          <w:sz w:val="32"/>
          <w:szCs w:val="32"/>
        </w:rPr>
        <w:t>联片教研实践研究</w:t>
      </w:r>
    </w:p>
    <w:p w14:paraId="2F900EF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16</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kern w:val="0"/>
          <w:sz w:val="32"/>
          <w:szCs w:val="32"/>
        </w:rPr>
        <w:t>中小学校、幼儿园</w:t>
      </w:r>
      <w:r>
        <w:rPr>
          <w:rFonts w:hint="eastAsia" w:ascii="仿宋_GB2312" w:hAnsi="仿宋" w:eastAsia="仿宋_GB2312" w:cs="仿宋"/>
          <w:snapToGrid w:val="0"/>
          <w:color w:val="000000" w:themeColor="text1"/>
          <w:kern w:val="0"/>
          <w:sz w:val="32"/>
          <w:szCs w:val="32"/>
        </w:rPr>
        <w:t>网络教研实践研究</w:t>
      </w:r>
    </w:p>
    <w:p w14:paraId="1261EAB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17</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课例研究的方法和策略研究</w:t>
      </w:r>
    </w:p>
    <w:p w14:paraId="3875B38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18.中小学教育教学评价改革的实践研究</w:t>
      </w:r>
    </w:p>
    <w:p w14:paraId="296177B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19.中小学教师专业发展策略研究</w:t>
      </w:r>
    </w:p>
    <w:p w14:paraId="6DBEE2A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20.自主（或合作、探究）学习方式实验研究</w:t>
      </w:r>
    </w:p>
    <w:p w14:paraId="44BE5C1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21.启</w:t>
      </w:r>
      <w:r>
        <w:rPr>
          <w:rFonts w:hint="eastAsia" w:ascii="仿宋_GB2312" w:hAnsi="仿宋" w:eastAsia="仿宋_GB2312" w:cs="仿宋"/>
          <w:snapToGrid w:val="0"/>
          <w:color w:val="000000" w:themeColor="text1"/>
          <w:spacing w:val="-6"/>
          <w:kern w:val="0"/>
          <w:sz w:val="32"/>
          <w:szCs w:val="32"/>
        </w:rPr>
        <w:t>发式（或探究式、讨论式、参与式）教学方式实验研究</w:t>
      </w:r>
    </w:p>
    <w:p w14:paraId="1D7F3AA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22.中小学生综合素质评价研究</w:t>
      </w:r>
    </w:p>
    <w:p w14:paraId="2034ED6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23.特色学校创建与发展研究</w:t>
      </w:r>
    </w:p>
    <w:p w14:paraId="60E9D49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24.中小学师德建设研究</w:t>
      </w:r>
    </w:p>
    <w:p w14:paraId="7BBF1C8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25.有效减轻中小学生课业负担的实践研究</w:t>
      </w:r>
    </w:p>
    <w:p w14:paraId="006AE8F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26.微课（或慕课、翻转课堂）教学实践研究</w:t>
      </w:r>
    </w:p>
    <w:p w14:paraId="6CD5586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27.普通高中教育教学顺应高考制度改革的对策研究</w:t>
      </w:r>
    </w:p>
    <w:p w14:paraId="6858396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28.基础教育质量监测相关问题研究</w:t>
      </w:r>
    </w:p>
    <w:p w14:paraId="7CA543EF">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29.基础教育课程改革问题研究</w:t>
      </w:r>
    </w:p>
    <w:p w14:paraId="18BFD5D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30.农村寄宿制学校学生健康生活之亲情培育研究</w:t>
      </w:r>
    </w:p>
    <w:p w14:paraId="7C39E16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31.学校安全教育管理与教学实施策略研究</w:t>
      </w:r>
    </w:p>
    <w:p w14:paraId="61F9F5E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spacing w:val="-8"/>
          <w:kern w:val="0"/>
          <w:sz w:val="32"/>
          <w:szCs w:val="32"/>
        </w:rPr>
      </w:pPr>
      <w:r>
        <w:rPr>
          <w:rFonts w:hint="eastAsia" w:ascii="仿宋_GB2312" w:hAnsi="仿宋" w:eastAsia="仿宋_GB2312" w:cs="仿宋"/>
          <w:snapToGrid w:val="0"/>
          <w:color w:val="000000" w:themeColor="text1"/>
          <w:kern w:val="0"/>
          <w:sz w:val="32"/>
          <w:szCs w:val="32"/>
        </w:rPr>
        <w:t>32.</w:t>
      </w:r>
      <w:r>
        <w:rPr>
          <w:rFonts w:hint="eastAsia" w:ascii="仿宋_GB2312" w:hAnsi="仿宋" w:eastAsia="仿宋_GB2312" w:cs="仿宋"/>
          <w:snapToGrid w:val="0"/>
          <w:color w:val="000000" w:themeColor="text1"/>
          <w:spacing w:val="-8"/>
          <w:kern w:val="0"/>
          <w:sz w:val="32"/>
          <w:szCs w:val="32"/>
        </w:rPr>
        <w:t>小初、初高双向、有效、高效衔接的设计、实施与评价研究</w:t>
      </w:r>
    </w:p>
    <w:p w14:paraId="4CF6241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spacing w:val="-8"/>
          <w:kern w:val="0"/>
          <w:sz w:val="32"/>
          <w:szCs w:val="32"/>
        </w:rPr>
      </w:pPr>
      <w:r>
        <w:rPr>
          <w:rFonts w:hint="eastAsia" w:ascii="仿宋_GB2312" w:hAnsi="仿宋" w:eastAsia="仿宋_GB2312" w:cs="仿宋"/>
          <w:snapToGrid w:val="0"/>
          <w:color w:val="000000" w:themeColor="text1"/>
          <w:kern w:val="0"/>
          <w:sz w:val="32"/>
          <w:szCs w:val="32"/>
        </w:rPr>
        <w:t>33</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中小学创造性思维发展教学策略与实践研究</w:t>
      </w:r>
    </w:p>
    <w:p w14:paraId="32EF617E">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spacing w:val="-8"/>
          <w:kern w:val="0"/>
          <w:sz w:val="32"/>
          <w:szCs w:val="32"/>
        </w:rPr>
      </w:pPr>
      <w:r>
        <w:rPr>
          <w:rFonts w:hint="eastAsia" w:ascii="仿宋_GB2312" w:hAnsi="仿宋" w:eastAsia="仿宋_GB2312" w:cs="仿宋"/>
          <w:snapToGrid w:val="0"/>
          <w:color w:val="000000" w:themeColor="text1"/>
          <w:kern w:val="0"/>
          <w:sz w:val="32"/>
          <w:szCs w:val="32"/>
        </w:rPr>
        <w:t>34.</w:t>
      </w:r>
      <w:r>
        <w:rPr>
          <w:rFonts w:hint="eastAsia" w:ascii="仿宋_GB2312" w:hAnsi="仿宋" w:eastAsia="仿宋_GB2312" w:cs="仿宋"/>
          <w:snapToGrid w:val="0"/>
          <w:color w:val="000000" w:themeColor="text1"/>
          <w:spacing w:val="-8"/>
          <w:kern w:val="0"/>
          <w:sz w:val="32"/>
          <w:szCs w:val="32"/>
        </w:rPr>
        <w:t>高中与高校双向、有效、高效衔接的设计、实施与评价研究</w:t>
      </w:r>
    </w:p>
    <w:p w14:paraId="1882CD3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color w:val="000000" w:themeColor="text1"/>
          <w:kern w:val="0"/>
          <w:sz w:val="32"/>
          <w:szCs w:val="32"/>
        </w:rPr>
        <w:t>35.高校音体美专业师范生志愿实习支教教育教学质量调查</w:t>
      </w:r>
      <w:r>
        <w:rPr>
          <w:rFonts w:hint="eastAsia" w:ascii="仿宋_GB2312" w:hAnsi="仿宋" w:eastAsia="仿宋_GB2312" w:cs="仿宋"/>
          <w:snapToGrid w:val="0"/>
          <w:kern w:val="0"/>
          <w:sz w:val="32"/>
          <w:szCs w:val="32"/>
        </w:rPr>
        <w:t>研究</w:t>
      </w:r>
    </w:p>
    <w:p w14:paraId="005777E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36.高校音体美志愿实习支教大学生管理和服务研究</w:t>
      </w:r>
    </w:p>
    <w:p w14:paraId="1C24C13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37.高校音体美志愿实习支教大学生教学指南使用情况及工作改进研究</w:t>
      </w:r>
    </w:p>
    <w:p w14:paraId="6571108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38.高中育人方式改革的对策研究</w:t>
      </w:r>
    </w:p>
    <w:p w14:paraId="23C2D6E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39.新高考背景下的普通高中教学管理的实证研究</w:t>
      </w:r>
    </w:p>
    <w:p w14:paraId="31862C2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40.中学阶段各层次考试命题技术研究</w:t>
      </w:r>
    </w:p>
    <w:p w14:paraId="32E113C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41</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普通高中学生发展指导的研究</w:t>
      </w:r>
    </w:p>
    <w:p w14:paraId="0E0784E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42.普通高中学生发展指导与学科课程融合的研究</w:t>
      </w:r>
    </w:p>
    <w:p w14:paraId="2E4238B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43.普通高中学生发展指导课程体系构建研究</w:t>
      </w:r>
    </w:p>
    <w:p w14:paraId="44C57604">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44.普通高中学生发展指导与五育融合的研究</w:t>
      </w:r>
    </w:p>
    <w:p w14:paraId="565DBCB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45</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普通高中选课走班的研究</w:t>
      </w:r>
    </w:p>
    <w:p w14:paraId="5211052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46</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新高考背景下高校志愿选择填报的合理性研究</w:t>
      </w:r>
    </w:p>
    <w:p w14:paraId="08A2059B">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47</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“3+1+2”模式下高中学校特色发展的研究</w:t>
      </w:r>
    </w:p>
    <w:p w14:paraId="5B2723A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48</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普通高中必修课程教育教学质量提升的研究</w:t>
      </w:r>
    </w:p>
    <w:p w14:paraId="5EEB1396">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49</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普通高中选择性必修课程教育教学质量提升的研究</w:t>
      </w:r>
    </w:p>
    <w:p w14:paraId="4D5C5AE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50</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适应普通高中新课程的青年教师培养研究</w:t>
      </w:r>
    </w:p>
    <w:p w14:paraId="4413ABA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51</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新课程实施中作业控制及学情评价研究</w:t>
      </w:r>
    </w:p>
    <w:p w14:paraId="427EDE1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52</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新课程实施中实现“五育并举”研究</w:t>
      </w:r>
    </w:p>
    <w:p w14:paraId="2052E52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53</w:t>
      </w:r>
      <w:r>
        <w:rPr>
          <w:rFonts w:hint="eastAsia" w:ascii="仿宋_GB2312" w:hAnsi="仿宋" w:eastAsia="仿宋_GB2312" w:cs="仿宋"/>
          <w:snapToGrid w:val="0"/>
          <w:kern w:val="0"/>
          <w:sz w:val="32"/>
          <w:szCs w:val="32"/>
          <w:shd w:val="clear" w:color="auto" w:fill="FFFFFF"/>
        </w:rPr>
        <w:t>.</w:t>
      </w:r>
      <w:r>
        <w:rPr>
          <w:rFonts w:hint="eastAsia" w:ascii="仿宋_GB2312" w:hAnsi="仿宋" w:eastAsia="仿宋_GB2312" w:cs="仿宋"/>
          <w:snapToGrid w:val="0"/>
          <w:kern w:val="0"/>
          <w:sz w:val="32"/>
          <w:szCs w:val="32"/>
        </w:rPr>
        <w:t>提升学生公共卫生安全素养研究</w:t>
      </w:r>
    </w:p>
    <w:p w14:paraId="259BD028">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54.线上线下结合的教学研究</w:t>
      </w:r>
    </w:p>
    <w:p w14:paraId="7AF0D13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 xml:space="preserve">55.指向内涵式发展的教育扶贫研究    </w:t>
      </w:r>
    </w:p>
    <w:p w14:paraId="03C4CDB2">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kern w:val="0"/>
          <w:sz w:val="32"/>
          <w:szCs w:val="32"/>
        </w:rPr>
      </w:pPr>
      <w:r>
        <w:rPr>
          <w:rFonts w:hint="eastAsia" w:ascii="仿宋_GB2312" w:hAnsi="仿宋" w:eastAsia="仿宋_GB2312" w:cs="仿宋"/>
          <w:snapToGrid w:val="0"/>
          <w:kern w:val="0"/>
          <w:sz w:val="32"/>
          <w:szCs w:val="32"/>
        </w:rPr>
        <w:t>56.发展学生思维能力研究</w:t>
      </w:r>
    </w:p>
    <w:p w14:paraId="201054C1">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57.</w:t>
      </w:r>
      <w:r>
        <w:rPr>
          <w:rFonts w:hint="eastAsia" w:ascii="仿宋_GB2312" w:hAnsi="仿宋" w:eastAsia="仿宋_GB2312" w:cs="仿宋"/>
          <w:snapToGrid w:val="0"/>
          <w:color w:val="000000" w:themeColor="text1"/>
          <w:kern w:val="0"/>
          <w:sz w:val="32"/>
          <w:szCs w:val="32"/>
        </w:rPr>
        <w:t>研学实践落实立德树人根本任务的研究</w:t>
      </w:r>
    </w:p>
    <w:p w14:paraId="51BD20B7">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58.</w:t>
      </w:r>
      <w:r>
        <w:rPr>
          <w:rFonts w:hint="eastAsia" w:ascii="仿宋_GB2312" w:hAnsi="仿宋" w:eastAsia="仿宋_GB2312" w:cs="仿宋"/>
          <w:snapToGrid w:val="0"/>
          <w:color w:val="000000" w:themeColor="text1"/>
          <w:kern w:val="0"/>
          <w:sz w:val="32"/>
          <w:szCs w:val="32"/>
        </w:rPr>
        <w:t>具有江西特色的研学实践课程的开发与实践研究</w:t>
      </w:r>
    </w:p>
    <w:p w14:paraId="1E73F4D0">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59.</w:t>
      </w:r>
      <w:r>
        <w:rPr>
          <w:rFonts w:hint="eastAsia" w:ascii="仿宋_GB2312" w:hAnsi="仿宋" w:eastAsia="仿宋_GB2312" w:cs="仿宋"/>
          <w:snapToGrid w:val="0"/>
          <w:color w:val="000000" w:themeColor="text1"/>
          <w:kern w:val="0"/>
          <w:sz w:val="32"/>
          <w:szCs w:val="32"/>
        </w:rPr>
        <w:t>研学实践安全防范系统研究</w:t>
      </w:r>
    </w:p>
    <w:p w14:paraId="00E2189C">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60.</w:t>
      </w:r>
      <w:r>
        <w:rPr>
          <w:rFonts w:hint="eastAsia" w:ascii="仿宋_GB2312" w:hAnsi="仿宋" w:eastAsia="仿宋_GB2312" w:cs="仿宋"/>
          <w:snapToGrid w:val="0"/>
          <w:color w:val="000000" w:themeColor="text1"/>
          <w:kern w:val="0"/>
          <w:sz w:val="32"/>
          <w:szCs w:val="32"/>
        </w:rPr>
        <w:t>研学实践教育评价研究</w:t>
      </w:r>
    </w:p>
    <w:p w14:paraId="68E2CB33">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snapToGrid w:val="0"/>
          <w:color w:val="000000" w:themeColor="text1"/>
          <w:kern w:val="0"/>
          <w:sz w:val="32"/>
          <w:szCs w:val="32"/>
        </w:rPr>
        <w:t>61.</w:t>
      </w:r>
      <w:r>
        <w:rPr>
          <w:rFonts w:hint="eastAsia" w:ascii="仿宋_GB2312" w:hAnsi="仿宋" w:eastAsia="仿宋_GB2312" w:cs="仿宋"/>
          <w:snapToGrid w:val="0"/>
          <w:color w:val="000000" w:themeColor="text1"/>
          <w:kern w:val="0"/>
          <w:sz w:val="32"/>
          <w:szCs w:val="32"/>
        </w:rPr>
        <w:t>中小学生研学实践活动与综合实践活动课程有效整合指导研究</w:t>
      </w:r>
    </w:p>
    <w:p w14:paraId="72ECD359">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shd w:val="clear" w:color="auto" w:fill="FFFFFF"/>
        </w:rPr>
        <w:t>62.</w:t>
      </w:r>
      <w:r>
        <w:rPr>
          <w:rFonts w:hint="eastAsia" w:ascii="仿宋_GB2312" w:hAnsi="仿宋" w:eastAsia="仿宋_GB2312" w:cs="仿宋"/>
          <w:snapToGrid w:val="0"/>
          <w:color w:val="000000" w:themeColor="text1"/>
          <w:kern w:val="0"/>
          <w:sz w:val="32"/>
          <w:szCs w:val="32"/>
        </w:rPr>
        <w:t>梦想课程信息化资源建设和共享研究与实践</w:t>
      </w:r>
    </w:p>
    <w:p w14:paraId="6B8DE8FA">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63</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梦想课程的教学方法研究</w:t>
      </w:r>
    </w:p>
    <w:p w14:paraId="52C83ADD">
      <w:pPr>
        <w:overflowPunct w:val="0"/>
        <w:autoSpaceDE w:val="0"/>
        <w:autoSpaceDN w:val="0"/>
        <w:adjustRightInd w:val="0"/>
        <w:snapToGrid w:val="0"/>
        <w:spacing w:line="585" w:lineRule="exact"/>
        <w:ind w:firstLine="640" w:firstLineChars="200"/>
        <w:textAlignment w:val="baseline"/>
        <w:rPr>
          <w:rFonts w:ascii="仿宋_GB2312" w:hAnsi="仿宋" w:eastAsia="仿宋_GB2312" w:cs="仿宋"/>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32"/>
        </w:rPr>
        <w:t>64</w:t>
      </w:r>
      <w:r>
        <w:rPr>
          <w:rFonts w:hint="eastAsia" w:ascii="仿宋_GB2312" w:hAnsi="仿宋" w:eastAsia="仿宋_GB2312" w:cs="仿宋"/>
          <w:snapToGrid w:val="0"/>
          <w:color w:val="000000" w:themeColor="text1"/>
          <w:kern w:val="0"/>
          <w:sz w:val="32"/>
          <w:szCs w:val="32"/>
          <w:shd w:val="clear" w:color="auto" w:fill="FFFFFF"/>
        </w:rPr>
        <w:t>.</w:t>
      </w:r>
      <w:r>
        <w:rPr>
          <w:rFonts w:hint="eastAsia" w:ascii="仿宋_GB2312" w:hAnsi="仿宋" w:eastAsia="仿宋_GB2312" w:cs="仿宋"/>
          <w:snapToGrid w:val="0"/>
          <w:color w:val="000000" w:themeColor="text1"/>
          <w:kern w:val="0"/>
          <w:sz w:val="32"/>
          <w:szCs w:val="32"/>
        </w:rPr>
        <w:t>梦想课程的实施效果评价研究</w:t>
      </w:r>
    </w:p>
    <w:p w14:paraId="6D227E59">
      <w:pPr>
        <w:widowControl/>
        <w:jc w:val="left"/>
        <w:rPr>
          <w:rFonts w:ascii="黑体" w:hAnsi="黑体" w:eastAsia="黑体" w:cs="黑体"/>
          <w:snapToGrid w:val="0"/>
          <w:color w:val="000000" w:themeColor="text1"/>
          <w:kern w:val="0"/>
          <w:sz w:val="32"/>
          <w:szCs w:val="32"/>
        </w:rPr>
      </w:pPr>
      <w:r>
        <w:rPr>
          <w:rFonts w:ascii="黑体" w:hAnsi="黑体" w:eastAsia="黑体" w:cs="黑体"/>
          <w:snapToGrid w:val="0"/>
          <w:color w:val="000000" w:themeColor="text1"/>
          <w:kern w:val="0"/>
          <w:sz w:val="32"/>
          <w:szCs w:val="32"/>
        </w:rPr>
        <w:br w:type="page"/>
      </w:r>
    </w:p>
    <w:p w14:paraId="5A7A952A">
      <w:pPr>
        <w:overflowPunct w:val="0"/>
        <w:spacing w:line="585" w:lineRule="exact"/>
        <w:contextualSpacing/>
        <w:rPr>
          <w:rFonts w:ascii="方正小标宋简体" w:hAnsi="微软雅黑" w:eastAsia="黑体" w:cs="微软雅黑"/>
          <w:snapToGrid w:val="0"/>
          <w:sz w:val="44"/>
          <w:szCs w:val="36"/>
        </w:rPr>
      </w:pPr>
      <w:r>
        <w:rPr>
          <w:rFonts w:hint="eastAsia" w:ascii="黑体" w:hAnsi="黑体" w:eastAsia="黑体" w:cs="黑体"/>
          <w:snapToGrid w:val="0"/>
          <w:kern w:val="0"/>
          <w:sz w:val="32"/>
          <w:szCs w:val="32"/>
        </w:rPr>
        <w:t>附件2</w:t>
      </w:r>
    </w:p>
    <w:p w14:paraId="0BE70F01">
      <w:pPr>
        <w:overflowPunct w:val="0"/>
        <w:spacing w:line="585" w:lineRule="exact"/>
        <w:contextualSpacing/>
        <w:jc w:val="center"/>
        <w:rPr>
          <w:rFonts w:ascii="方正小标宋简体" w:hAnsi="微软雅黑" w:eastAsia="方正小标宋简体" w:cs="微软雅黑"/>
          <w:snapToGrid w:val="0"/>
          <w:sz w:val="44"/>
          <w:szCs w:val="36"/>
        </w:rPr>
      </w:pPr>
    </w:p>
    <w:p w14:paraId="1812E899">
      <w:pPr>
        <w:overflowPunct w:val="0"/>
        <w:spacing w:line="585" w:lineRule="exact"/>
        <w:contextualSpacing/>
        <w:jc w:val="center"/>
        <w:rPr>
          <w:rFonts w:ascii="方正小标宋简体" w:hAnsi="微软雅黑" w:eastAsia="方正小标宋简体" w:cs="微软雅黑"/>
          <w:snapToGrid w:val="0"/>
          <w:sz w:val="44"/>
          <w:szCs w:val="36"/>
        </w:rPr>
      </w:pPr>
      <w:r>
        <w:rPr>
          <w:rFonts w:hint="eastAsia" w:ascii="方正小标宋简体" w:hAnsi="微软雅黑" w:eastAsia="方正小标宋简体" w:cs="微软雅黑"/>
          <w:snapToGrid w:val="0"/>
          <w:sz w:val="44"/>
          <w:szCs w:val="36"/>
        </w:rPr>
        <w:t>2026年江西省高校与县域基础教育</w:t>
      </w:r>
    </w:p>
    <w:p w14:paraId="6AF13057">
      <w:pPr>
        <w:overflowPunct w:val="0"/>
        <w:spacing w:line="585" w:lineRule="exact"/>
        <w:contextualSpacing/>
        <w:jc w:val="center"/>
        <w:rPr>
          <w:rFonts w:ascii="方正小标宋简体" w:hAnsi="微软雅黑" w:eastAsia="方正小标宋简体" w:cs="微软雅黑"/>
          <w:snapToGrid w:val="0"/>
          <w:sz w:val="44"/>
          <w:szCs w:val="36"/>
        </w:rPr>
      </w:pPr>
      <w:r>
        <w:rPr>
          <w:rFonts w:hint="eastAsia" w:ascii="方正小标宋简体" w:hAnsi="微软雅黑" w:eastAsia="方正小标宋简体" w:cs="微软雅黑"/>
          <w:snapToGrid w:val="0"/>
          <w:sz w:val="44"/>
          <w:szCs w:val="36"/>
        </w:rPr>
        <w:t>协同提质专项研究课题指南</w:t>
      </w:r>
    </w:p>
    <w:p w14:paraId="75A2B80C">
      <w:pPr>
        <w:overflowPunct w:val="0"/>
        <w:spacing w:line="585" w:lineRule="exact"/>
        <w:contextualSpacing/>
        <w:jc w:val="center"/>
        <w:rPr>
          <w:rFonts w:ascii="微软雅黑" w:hAnsi="微软雅黑" w:eastAsia="微软雅黑" w:cs="微软雅黑"/>
          <w:snapToGrid w:val="0"/>
          <w:sz w:val="36"/>
          <w:szCs w:val="36"/>
        </w:rPr>
      </w:pPr>
    </w:p>
    <w:p w14:paraId="2F124959">
      <w:pPr>
        <w:topLinePunct/>
        <w:spacing w:line="585" w:lineRule="exact"/>
        <w:ind w:firstLine="640" w:firstLineChars="200"/>
        <w:rPr>
          <w:color w:val="000000" w:themeColor="text1"/>
        </w:rPr>
      </w:pPr>
      <w:r>
        <w:rPr>
          <w:rFonts w:ascii="仿宋_GB2312" w:hAnsi="仿宋" w:eastAsia="仿宋_GB2312" w:cs="仿宋"/>
          <w:snapToGrid w:val="0"/>
          <w:kern w:val="0"/>
          <w:sz w:val="32"/>
          <w:szCs w:val="28"/>
        </w:rPr>
        <w:t>为落实省教育厅《关于〈江西省高校与县域基础教育协同提质行动方案〉的通知》（赣教基字〔2023〕39号）要求，省教研室</w:t>
      </w:r>
      <w:r>
        <w:rPr>
          <w:rFonts w:hint="eastAsia" w:ascii="仿宋_GB2312" w:hAnsi="仿宋" w:eastAsia="仿宋_GB2312" w:cs="仿宋"/>
          <w:snapToGrid w:val="0"/>
          <w:color w:val="000000" w:themeColor="text1"/>
          <w:kern w:val="0"/>
          <w:sz w:val="32"/>
          <w:szCs w:val="28"/>
        </w:rPr>
        <w:t>于2024年</w:t>
      </w:r>
      <w:r>
        <w:rPr>
          <w:rFonts w:hint="eastAsia" w:ascii="仿宋_GB2312" w:hAnsi="仿宋" w:eastAsia="仿宋_GB2312" w:cs="仿宋"/>
          <w:snapToGrid w:val="0"/>
          <w:color w:val="000000" w:themeColor="text1"/>
          <w:spacing w:val="-6"/>
          <w:kern w:val="0"/>
          <w:sz w:val="32"/>
          <w:szCs w:val="28"/>
        </w:rPr>
        <w:t>起</w:t>
      </w:r>
      <w:r>
        <w:rPr>
          <w:rFonts w:ascii="仿宋_GB2312" w:hAnsi="仿宋" w:eastAsia="仿宋_GB2312" w:cs="仿宋"/>
          <w:snapToGrid w:val="0"/>
          <w:color w:val="000000" w:themeColor="text1"/>
          <w:spacing w:val="-6"/>
          <w:kern w:val="0"/>
          <w:sz w:val="32"/>
          <w:szCs w:val="28"/>
        </w:rPr>
        <w:t>在23个协同提质试点县（市、区）设立“高校与县域基础教育协同提质专项研究课题”。</w:t>
      </w:r>
      <w:r>
        <w:rPr>
          <w:rFonts w:hint="eastAsia" w:ascii="仿宋_GB2312" w:hAnsi="仿宋" w:eastAsia="仿宋_GB2312" w:cs="仿宋"/>
          <w:snapToGrid w:val="0"/>
          <w:color w:val="000000" w:themeColor="text1"/>
          <w:spacing w:val="-6"/>
          <w:kern w:val="0"/>
          <w:sz w:val="32"/>
          <w:szCs w:val="28"/>
        </w:rPr>
        <w:t>聚焦</w:t>
      </w:r>
      <w:r>
        <w:rPr>
          <w:rFonts w:ascii="仿宋_GB2312" w:hAnsi="仿宋" w:eastAsia="仿宋_GB2312" w:cs="仿宋"/>
          <w:snapToGrid w:val="0"/>
          <w:color w:val="000000" w:themeColor="text1"/>
          <w:spacing w:val="-6"/>
          <w:kern w:val="0"/>
          <w:sz w:val="32"/>
          <w:szCs w:val="28"/>
        </w:rPr>
        <w:t>基础教育改革重难点及热点，提供课题指南供选题参考。试点县（市、区）教育工作者申报课题时，可参考指南选题，结合</w:t>
      </w:r>
      <w:r>
        <w:rPr>
          <w:rFonts w:hint="eastAsia" w:ascii="仿宋_GB2312" w:hAnsi="仿宋" w:eastAsia="仿宋_GB2312" w:cs="仿宋"/>
          <w:snapToGrid w:val="0"/>
          <w:color w:val="000000" w:themeColor="text1"/>
          <w:spacing w:val="-6"/>
          <w:kern w:val="0"/>
          <w:sz w:val="32"/>
          <w:szCs w:val="28"/>
        </w:rPr>
        <w:t>县</w:t>
      </w:r>
      <w:r>
        <w:rPr>
          <w:rFonts w:ascii="仿宋_GB2312" w:hAnsi="仿宋" w:eastAsia="仿宋_GB2312" w:cs="仿宋"/>
          <w:snapToGrid w:val="0"/>
          <w:color w:val="000000" w:themeColor="text1"/>
          <w:spacing w:val="-6"/>
          <w:kern w:val="0"/>
          <w:sz w:val="32"/>
          <w:szCs w:val="28"/>
        </w:rPr>
        <w:t>域</w:t>
      </w:r>
      <w:r>
        <w:rPr>
          <w:rFonts w:hint="eastAsia" w:ascii="仿宋_GB2312" w:hAnsi="仿宋" w:eastAsia="仿宋_GB2312" w:cs="仿宋"/>
          <w:snapToGrid w:val="0"/>
          <w:color w:val="000000" w:themeColor="text1"/>
          <w:spacing w:val="-6"/>
          <w:kern w:val="0"/>
          <w:sz w:val="32"/>
          <w:szCs w:val="28"/>
        </w:rPr>
        <w:t>基础教育</w:t>
      </w:r>
      <w:r>
        <w:rPr>
          <w:rFonts w:ascii="仿宋_GB2312" w:hAnsi="仿宋" w:eastAsia="仿宋_GB2312" w:cs="仿宋"/>
          <w:snapToGrid w:val="0"/>
          <w:color w:val="000000" w:themeColor="text1"/>
          <w:spacing w:val="-6"/>
          <w:kern w:val="0"/>
          <w:sz w:val="32"/>
          <w:szCs w:val="28"/>
        </w:rPr>
        <w:t>实际，在高校指导下开展基础教育课程改革实际问题的联合攻关与综合应用研究。</w:t>
      </w:r>
    </w:p>
    <w:p w14:paraId="7168F116">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黑体" w:hAnsi="黑体" w:eastAsia="黑体" w:cs="黑体"/>
          <w:snapToGrid w:val="0"/>
          <w:color w:val="000000" w:themeColor="text1"/>
          <w:kern w:val="0"/>
          <w:sz w:val="32"/>
          <w:szCs w:val="28"/>
        </w:rPr>
        <w:t>一、党建与德育</w:t>
      </w:r>
    </w:p>
    <w:p w14:paraId="21B7CC8B">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1.协同提质背景下县域党建引领下的思政教育一体化与“大</w:t>
      </w:r>
    </w:p>
    <w:p w14:paraId="4AEEF398">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思政课”建设研究</w:t>
      </w:r>
    </w:p>
    <w:p w14:paraId="41AFB51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2.协同提质背景下中小学建立健全党组织领导的校长负责制的实践研究</w:t>
      </w:r>
    </w:p>
    <w:p w14:paraId="3E09BD74">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3.协同提质背景下县域红色文化教育课程化实施的价值意义与实践路径的研究</w:t>
      </w:r>
    </w:p>
    <w:p w14:paraId="41B643A3">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黑体" w:hAnsi="黑体" w:eastAsia="黑体" w:cs="黑体"/>
          <w:snapToGrid w:val="0"/>
          <w:color w:val="000000" w:themeColor="text1"/>
          <w:kern w:val="0"/>
          <w:sz w:val="32"/>
          <w:szCs w:val="28"/>
        </w:rPr>
        <w:t>二、区域与学校发展</w:t>
      </w:r>
    </w:p>
    <w:p w14:paraId="5460BAA5">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1.协</w:t>
      </w:r>
      <w:r>
        <w:rPr>
          <w:rFonts w:hint="eastAsia" w:ascii="仿宋_GB2312" w:hAnsi="仿宋" w:eastAsia="仿宋_GB2312" w:cs="仿宋"/>
          <w:snapToGrid w:val="0"/>
          <w:color w:val="000000" w:themeColor="text1"/>
          <w:spacing w:val="-6"/>
          <w:kern w:val="0"/>
          <w:sz w:val="32"/>
          <w:szCs w:val="28"/>
        </w:rPr>
        <w:t>同提质背景下县域基础教育高质量育人的路径与策略研究</w:t>
      </w:r>
    </w:p>
    <w:p w14:paraId="6824CBB2">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2.协同提质背景下县域“五育并举”教育体系的构建与实践研究</w:t>
      </w:r>
    </w:p>
    <w:p w14:paraId="1585D8D5">
      <w:pPr>
        <w:tabs>
          <w:tab w:val="left" w:pos="312"/>
        </w:tabs>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3.协同提质背景下县域义务教育城乡一体化与乡村教育振兴的实践研究</w:t>
      </w:r>
    </w:p>
    <w:p w14:paraId="6300BCB1">
      <w:pPr>
        <w:tabs>
          <w:tab w:val="left" w:pos="312"/>
        </w:tabs>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4.协同提质背景下县域基础教育综合改革实验与教学成果推广应用研究</w:t>
      </w:r>
    </w:p>
    <w:p w14:paraId="26259341">
      <w:pPr>
        <w:tabs>
          <w:tab w:val="left" w:pos="312"/>
        </w:tabs>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5.协同提质背景下县域推进学前教育普及普惠发展的保障机制的研究</w:t>
      </w:r>
    </w:p>
    <w:p w14:paraId="5E7CE97E">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6.协同提质背景下县域整体推进幼儿园保教质量提升的实践研究</w:t>
      </w:r>
    </w:p>
    <w:p w14:paraId="48DDFBDC">
      <w:pPr>
        <w:tabs>
          <w:tab w:val="left" w:pos="312"/>
        </w:tabs>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7.协同提质背景下县域推进义务教育优质均衡发展保障机制的研究</w:t>
      </w:r>
    </w:p>
    <w:p w14:paraId="206740A5">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仿宋"/>
          <w:snapToGrid w:val="0"/>
          <w:color w:val="000000" w:themeColor="text1"/>
          <w:kern w:val="0"/>
          <w:sz w:val="32"/>
          <w:szCs w:val="28"/>
        </w:rPr>
      </w:pPr>
      <w:r>
        <w:rPr>
          <w:rFonts w:hint="eastAsia" w:ascii="黑体" w:hAnsi="黑体" w:eastAsia="黑体" w:cs="仿宋"/>
          <w:snapToGrid w:val="0"/>
          <w:color w:val="000000" w:themeColor="text1"/>
          <w:kern w:val="0"/>
          <w:sz w:val="32"/>
          <w:szCs w:val="28"/>
        </w:rPr>
        <w:t>三、课程与教学改革</w:t>
      </w:r>
    </w:p>
    <w:p w14:paraId="19640577">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1.协同提质背景下县域项目式（探究式、启发式、参与式）教学方式变革研究</w:t>
      </w:r>
    </w:p>
    <w:p w14:paraId="1ABBB78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2.协同提质背景下县域基于核心素养（学科实践或综合性学习）的教学变革深化研究</w:t>
      </w:r>
    </w:p>
    <w:p w14:paraId="116EA6D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3.协</w:t>
      </w:r>
      <w:r>
        <w:rPr>
          <w:rFonts w:hint="eastAsia" w:ascii="仿宋_GB2312" w:hAnsi="仿宋" w:eastAsia="仿宋_GB2312" w:cs="仿宋"/>
          <w:snapToGrid w:val="0"/>
          <w:color w:val="000000" w:themeColor="text1"/>
          <w:spacing w:val="-6"/>
          <w:kern w:val="0"/>
          <w:sz w:val="32"/>
          <w:szCs w:val="28"/>
        </w:rPr>
        <w:t>同提质背景下县域幼儿园、中小学管理者课程领导力研究</w:t>
      </w:r>
    </w:p>
    <w:p w14:paraId="7C9B2A8A">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4.协同提质背景下县域学校校园文化及课程建设的实践研究</w:t>
      </w:r>
    </w:p>
    <w:p w14:paraId="486AABD5">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5.协同提质背景下县域中小学社团活动课程化实施研究</w:t>
      </w:r>
    </w:p>
    <w:p w14:paraId="52E7380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6.协同提质背景下县域“双减”政策下开放性、探究性、实践性作业设计的研究</w:t>
      </w:r>
    </w:p>
    <w:p w14:paraId="43EA28EF">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7.协同提质背景下县域“幼小、小初衔接”导向下学科发展型学习任务群的设计与实施策略研究</w:t>
      </w:r>
    </w:p>
    <w:p w14:paraId="04AEA62A">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8.协</w:t>
      </w:r>
      <w:r>
        <w:rPr>
          <w:rFonts w:hint="eastAsia" w:ascii="仿宋_GB2312" w:hAnsi="仿宋" w:eastAsia="仿宋_GB2312" w:cs="仿宋"/>
          <w:snapToGrid w:val="0"/>
          <w:color w:val="000000" w:themeColor="text1"/>
          <w:spacing w:val="-6"/>
          <w:kern w:val="0"/>
          <w:sz w:val="32"/>
          <w:szCs w:val="28"/>
        </w:rPr>
        <w:t>同提质背景下县域整体推进幼小科学双向衔接的实践研究</w:t>
      </w:r>
    </w:p>
    <w:p w14:paraId="25FB08BA">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黑体" w:hAnsi="黑体" w:eastAsia="黑体" w:cs="黑体"/>
          <w:snapToGrid w:val="0"/>
          <w:color w:val="000000" w:themeColor="text1"/>
          <w:kern w:val="0"/>
          <w:sz w:val="32"/>
          <w:szCs w:val="28"/>
        </w:rPr>
        <w:t>四、教研与教师发展</w:t>
      </w:r>
    </w:p>
    <w:p w14:paraId="06734788">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1.协同提质背景下县域名师工作室建设与管理的实践研究</w:t>
      </w:r>
    </w:p>
    <w:p w14:paraId="62A18AAE">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2.协同提质背景下县域新时代校（园）本教研制度的推进与实施研究</w:t>
      </w:r>
    </w:p>
    <w:p w14:paraId="6D3BDE04">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3.协同提质背景下县域教研员课程领导力的提升策略研究</w:t>
      </w:r>
    </w:p>
    <w:p w14:paraId="0F31C9F2">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4.协同提质背景下县域中小学校（园）本教研实施的路径与对策研究</w:t>
      </w:r>
    </w:p>
    <w:p w14:paraId="520DE87E">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5.协同提质背景下县域中小学学科备课组学习成长共同体的构建与教学品质提升的实践研究</w:t>
      </w:r>
    </w:p>
    <w:p w14:paraId="0EB06258">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6.协同提质背景下县域中小学校、幼儿园构建高质量教研共同体的实践研究</w:t>
      </w:r>
    </w:p>
    <w:p w14:paraId="0356AA01">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7.协同提质背景下县域学校促进教学与教研有机融合的实践研究</w:t>
      </w:r>
    </w:p>
    <w:p w14:paraId="42355AB0">
      <w:pPr>
        <w:tabs>
          <w:tab w:val="left" w:pos="312"/>
        </w:tabs>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8.协同提质背景下县域构建有效教研机制力促基础教育高质量发展的实践研究</w:t>
      </w:r>
    </w:p>
    <w:p w14:paraId="26C73432">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黑体" w:hAnsi="黑体" w:eastAsia="黑体" w:cs="黑体"/>
          <w:snapToGrid w:val="0"/>
          <w:color w:val="000000" w:themeColor="text1"/>
          <w:kern w:val="0"/>
          <w:sz w:val="32"/>
          <w:szCs w:val="28"/>
        </w:rPr>
        <w:t>五、学生发展与评价改革</w:t>
      </w:r>
    </w:p>
    <w:p w14:paraId="46FDDF4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1.协同提质背景下县域高考评价改革的实践研究</w:t>
      </w:r>
    </w:p>
    <w:p w14:paraId="0FE5C8CD">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2.协同提质背景下县域教育评价改革的实践研究</w:t>
      </w:r>
    </w:p>
    <w:p w14:paraId="54AC001F">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3.协同提质背景下县域指向全面（全程、综合）育人的科学评价体系构建研究</w:t>
      </w:r>
    </w:p>
    <w:p w14:paraId="61646F26">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4.协同提质背景下县域构建学校家庭社会协同育人新格局的理论和实践研究</w:t>
      </w:r>
    </w:p>
    <w:p w14:paraId="7E8A45B2">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5.协同提质背景下县域新时代中小学生发展与指导研究</w:t>
      </w:r>
    </w:p>
    <w:p w14:paraId="32584C0E">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6.协同提质背景下县域中小学生综合素质评价创新研究</w:t>
      </w:r>
    </w:p>
    <w:p w14:paraId="271422F1">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7.协同提质背景下县域基础教育推进拔尖创新人才培养工作研究</w:t>
      </w:r>
    </w:p>
    <w:p w14:paraId="46DB1DB5">
      <w:pPr>
        <w:overflowPunct w:val="0"/>
        <w:autoSpaceDE w:val="0"/>
        <w:autoSpaceDN w:val="0"/>
        <w:adjustRightInd w:val="0"/>
        <w:snapToGrid w:val="0"/>
        <w:spacing w:line="565" w:lineRule="exact"/>
        <w:ind w:firstLine="640" w:firstLineChars="200"/>
        <w:contextualSpacing/>
        <w:textAlignment w:val="baseline"/>
        <w:rPr>
          <w:rFonts w:ascii="黑体" w:hAnsi="黑体" w:eastAsia="黑体" w:cs="仿宋"/>
          <w:snapToGrid w:val="0"/>
          <w:color w:val="000000" w:themeColor="text1"/>
          <w:kern w:val="0"/>
          <w:sz w:val="32"/>
          <w:szCs w:val="28"/>
        </w:rPr>
      </w:pPr>
      <w:r>
        <w:rPr>
          <w:rFonts w:hint="eastAsia" w:ascii="黑体" w:hAnsi="黑体" w:eastAsia="黑体" w:cs="仿宋"/>
          <w:snapToGrid w:val="0"/>
          <w:color w:val="000000" w:themeColor="text1"/>
          <w:kern w:val="0"/>
          <w:sz w:val="32"/>
          <w:szCs w:val="28"/>
        </w:rPr>
        <w:t>六、信息技术与课程改革</w:t>
      </w:r>
    </w:p>
    <w:p w14:paraId="3E165767">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1.协同提质背景下县域学校课后服务课程体系建设研究</w:t>
      </w:r>
    </w:p>
    <w:p w14:paraId="06620799">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2.协同提质背景下县域精品课程资源建设与共享的实践研究</w:t>
      </w:r>
    </w:p>
    <w:p w14:paraId="2AC76FB7">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3.协同提质背景下县域本土课程资源的开发与运用研究</w:t>
      </w:r>
    </w:p>
    <w:p w14:paraId="2CFA1075">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4.协同提质背景下县域整体推进馆校合作视域下中小学“地方特色课程”设计研究</w:t>
      </w:r>
    </w:p>
    <w:p w14:paraId="2AF675AF">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5.协同提质背景下县域学校教师数字素养与技能培育研究</w:t>
      </w:r>
    </w:p>
    <w:p w14:paraId="421A5186">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6.协同提质背景下县域</w:t>
      </w:r>
      <w:r>
        <w:rPr>
          <w:rFonts w:hint="eastAsia" w:ascii="仿宋_GB2312" w:hAnsi="仿宋" w:eastAsia="仿宋_GB2312" w:cs="仿宋"/>
          <w:snapToGrid w:val="0"/>
          <w:kern w:val="0"/>
          <w:sz w:val="32"/>
          <w:szCs w:val="32"/>
        </w:rPr>
        <w:t>中小学校、幼儿园</w:t>
      </w:r>
      <w:r>
        <w:rPr>
          <w:rFonts w:hint="eastAsia" w:ascii="仿宋_GB2312" w:hAnsi="仿宋" w:eastAsia="仿宋_GB2312" w:cs="仿宋"/>
          <w:snapToGrid w:val="0"/>
          <w:color w:val="000000" w:themeColor="text1"/>
          <w:kern w:val="0"/>
          <w:sz w:val="32"/>
          <w:szCs w:val="28"/>
        </w:rPr>
        <w:t>数字化、智能化教研方式转变研究</w:t>
      </w:r>
    </w:p>
    <w:p w14:paraId="0BE9A366">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7.协同提质背景下县域中小学数字化课程资源建设研究</w:t>
      </w:r>
    </w:p>
    <w:p w14:paraId="11DF17CA">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8.协同提质背景下县域学校核心素养视域下课程育人资源建设与开发实践研究</w:t>
      </w:r>
    </w:p>
    <w:p w14:paraId="71DCF499">
      <w:pPr>
        <w:overflowPunct w:val="0"/>
        <w:autoSpaceDE w:val="0"/>
        <w:autoSpaceDN w:val="0"/>
        <w:adjustRightInd w:val="0"/>
        <w:snapToGrid w:val="0"/>
        <w:spacing w:line="565" w:lineRule="exact"/>
        <w:ind w:firstLine="640" w:firstLineChars="200"/>
        <w:contextualSpacing/>
        <w:textAlignment w:val="baseline"/>
        <w:rPr>
          <w:rFonts w:ascii="黑体" w:hAnsi="黑体" w:eastAsia="黑体" w:cs="黑体"/>
          <w:snapToGrid w:val="0"/>
          <w:color w:val="000000" w:themeColor="text1"/>
          <w:kern w:val="0"/>
          <w:sz w:val="32"/>
          <w:szCs w:val="32"/>
        </w:rPr>
      </w:pPr>
      <w:r>
        <w:rPr>
          <w:rFonts w:hint="eastAsia" w:ascii="仿宋_GB2312" w:hAnsi="仿宋" w:eastAsia="仿宋_GB2312" w:cs="仿宋"/>
          <w:snapToGrid w:val="0"/>
          <w:color w:val="000000" w:themeColor="text1"/>
          <w:kern w:val="0"/>
          <w:sz w:val="32"/>
          <w:szCs w:val="28"/>
        </w:rPr>
        <w:t>9.协</w:t>
      </w:r>
      <w:r>
        <w:rPr>
          <w:rFonts w:hint="eastAsia" w:ascii="仿宋_GB2312" w:hAnsi="仿宋" w:eastAsia="仿宋_GB2312" w:cs="仿宋"/>
          <w:snapToGrid w:val="0"/>
          <w:color w:val="000000" w:themeColor="text1"/>
          <w:spacing w:val="-6"/>
          <w:kern w:val="0"/>
          <w:sz w:val="32"/>
          <w:szCs w:val="28"/>
        </w:rPr>
        <w:t>同提质背景下数智赋能县域基础教育学与教方式变革研究</w:t>
      </w:r>
      <w:r>
        <w:rPr>
          <w:rFonts w:ascii="黑体" w:hAnsi="黑体" w:eastAsia="黑体" w:cs="黑体"/>
          <w:snapToGrid w:val="0"/>
          <w:color w:val="000000" w:themeColor="text1"/>
          <w:kern w:val="0"/>
          <w:sz w:val="32"/>
          <w:szCs w:val="32"/>
        </w:rPr>
        <w:br w:type="page"/>
      </w:r>
    </w:p>
    <w:p w14:paraId="48A510BB">
      <w:pPr>
        <w:topLinePunct/>
        <w:spacing w:line="585" w:lineRule="exact"/>
        <w:rPr>
          <w:rFonts w:ascii="方正小标宋简体" w:hAnsi="微软雅黑" w:eastAsia="黑体" w:cs="微软雅黑"/>
          <w:snapToGrid w:val="0"/>
          <w:sz w:val="44"/>
          <w:szCs w:val="36"/>
        </w:rPr>
      </w:pPr>
      <w:r>
        <w:rPr>
          <w:rFonts w:hint="eastAsia" w:ascii="黑体" w:hAnsi="黑体" w:eastAsia="黑体" w:cs="黑体"/>
          <w:snapToGrid w:val="0"/>
          <w:kern w:val="0"/>
          <w:sz w:val="32"/>
          <w:szCs w:val="32"/>
        </w:rPr>
        <w:t>附件3</w:t>
      </w:r>
    </w:p>
    <w:p w14:paraId="57BEC587">
      <w:pPr>
        <w:overflowPunct w:val="0"/>
        <w:spacing w:line="585" w:lineRule="exact"/>
        <w:contextualSpacing/>
        <w:jc w:val="center"/>
        <w:rPr>
          <w:rFonts w:ascii="方正小标宋简体" w:hAnsi="微软雅黑" w:eastAsia="方正小标宋简体" w:cs="微软雅黑"/>
          <w:snapToGrid w:val="0"/>
          <w:sz w:val="44"/>
          <w:szCs w:val="36"/>
        </w:rPr>
      </w:pPr>
    </w:p>
    <w:p w14:paraId="51C23965">
      <w:pPr>
        <w:overflowPunct w:val="0"/>
        <w:spacing w:line="585" w:lineRule="exact"/>
        <w:contextualSpacing/>
        <w:jc w:val="center"/>
        <w:rPr>
          <w:rFonts w:ascii="方正小标宋简体" w:hAnsi="微软雅黑" w:eastAsia="方正小标宋简体" w:cs="微软雅黑"/>
          <w:snapToGrid w:val="0"/>
          <w:sz w:val="44"/>
          <w:szCs w:val="36"/>
        </w:rPr>
      </w:pPr>
      <w:r>
        <w:rPr>
          <w:rFonts w:hint="eastAsia" w:ascii="方正小标宋简体" w:hAnsi="微软雅黑" w:eastAsia="方正小标宋简体" w:cs="微软雅黑"/>
          <w:snapToGrid w:val="0"/>
          <w:sz w:val="44"/>
          <w:szCs w:val="36"/>
        </w:rPr>
        <w:t>2026年江西省普通高中学习资源包建设</w:t>
      </w:r>
    </w:p>
    <w:p w14:paraId="56C871BC">
      <w:pPr>
        <w:overflowPunct w:val="0"/>
        <w:spacing w:line="585" w:lineRule="exact"/>
        <w:contextualSpacing/>
        <w:jc w:val="center"/>
      </w:pPr>
      <w:r>
        <w:rPr>
          <w:rFonts w:hint="eastAsia" w:ascii="方正小标宋简体" w:hAnsi="微软雅黑" w:eastAsia="方正小标宋简体" w:cs="微软雅黑"/>
          <w:snapToGrid w:val="0"/>
          <w:sz w:val="44"/>
          <w:szCs w:val="36"/>
        </w:rPr>
        <w:t>专项课题指南</w:t>
      </w:r>
    </w:p>
    <w:p w14:paraId="08BC7374">
      <w:pPr>
        <w:topLinePunct/>
        <w:spacing w:line="585" w:lineRule="exact"/>
        <w:jc w:val="center"/>
      </w:pPr>
    </w:p>
    <w:p w14:paraId="13A79428">
      <w:pPr>
        <w:topLinePunct/>
        <w:spacing w:line="585" w:lineRule="exact"/>
        <w:ind w:firstLine="640" w:firstLineChars="200"/>
        <w:rPr>
          <w:rFonts w:ascii="仿宋_GB2312" w:hAnsi="仿宋_GB2312" w:eastAsia="仿宋_GB2312" w:cs="仿宋_GB2312"/>
          <w:sz w:val="32"/>
          <w:szCs w:val="32"/>
        </w:rPr>
      </w:pPr>
      <w:r>
        <w:rPr>
          <w:rFonts w:ascii="仿宋_GB2312" w:hAnsi="仿宋" w:eastAsia="仿宋_GB2312" w:cs="仿宋"/>
          <w:snapToGrid w:val="0"/>
          <w:kern w:val="0"/>
          <w:sz w:val="32"/>
          <w:szCs w:val="28"/>
        </w:rPr>
        <w:t>为落实省教育厅《关于全省2026年普通高中学习资源包建设的工作方案》要求，</w:t>
      </w:r>
      <w:bookmarkStart w:id="0" w:name="_Hlk202524215_ai"/>
      <w:r>
        <w:rPr>
          <w:rFonts w:ascii="仿宋_GB2312" w:hAnsi="仿宋" w:eastAsia="仿宋_GB2312" w:cs="仿宋"/>
          <w:snapToGrid w:val="0"/>
          <w:kern w:val="0"/>
          <w:sz w:val="32"/>
          <w:szCs w:val="28"/>
        </w:rPr>
        <w:t>策应教辅规范管理改革，满足师生对优质学习资源的需</w:t>
      </w:r>
      <w:r>
        <w:rPr>
          <w:rFonts w:hint="eastAsia" w:ascii="仿宋_GB2312" w:hAnsi="仿宋" w:eastAsia="仿宋_GB2312" w:cs="仿宋"/>
          <w:snapToGrid w:val="0"/>
          <w:kern w:val="0"/>
          <w:sz w:val="32"/>
          <w:szCs w:val="28"/>
        </w:rPr>
        <w:t>要</w:t>
      </w:r>
      <w:r>
        <w:rPr>
          <w:rFonts w:ascii="仿宋_GB2312" w:hAnsi="仿宋" w:eastAsia="仿宋_GB2312" w:cs="仿宋"/>
          <w:snapToGrid w:val="0"/>
          <w:kern w:val="0"/>
          <w:sz w:val="32"/>
          <w:szCs w:val="28"/>
        </w:rPr>
        <w:t>，推动高中教育高质量发展</w:t>
      </w:r>
      <w:r>
        <w:rPr>
          <w:rFonts w:ascii="仿宋_GB2312" w:hAnsi="仿宋" w:eastAsia="仿宋_GB2312" w:cs="仿宋"/>
          <w:snapToGrid w:val="0"/>
          <w:color w:val="000000" w:themeColor="text1"/>
          <w:kern w:val="0"/>
          <w:sz w:val="32"/>
          <w:szCs w:val="28"/>
        </w:rPr>
        <w:t>，</w:t>
      </w:r>
      <w:bookmarkEnd w:id="0"/>
      <w:r>
        <w:rPr>
          <w:rFonts w:hint="eastAsia" w:ascii="仿宋_GB2312" w:hAnsi="仿宋" w:eastAsia="仿宋_GB2312" w:cs="仿宋"/>
          <w:snapToGrid w:val="0"/>
          <w:color w:val="000000" w:themeColor="text1"/>
          <w:kern w:val="0"/>
          <w:sz w:val="32"/>
          <w:szCs w:val="28"/>
        </w:rPr>
        <w:t>聚焦</w:t>
      </w:r>
      <w:r>
        <w:rPr>
          <w:rFonts w:ascii="仿宋_GB2312" w:hAnsi="仿宋" w:eastAsia="仿宋_GB2312" w:cs="仿宋"/>
          <w:snapToGrid w:val="0"/>
          <w:color w:val="000000" w:themeColor="text1"/>
          <w:kern w:val="0"/>
          <w:sz w:val="32"/>
          <w:szCs w:val="28"/>
        </w:rPr>
        <w:t>基</w:t>
      </w:r>
      <w:r>
        <w:rPr>
          <w:rFonts w:ascii="仿宋_GB2312" w:hAnsi="仿宋" w:eastAsia="仿宋_GB2312" w:cs="仿宋"/>
          <w:snapToGrid w:val="0"/>
          <w:kern w:val="0"/>
          <w:sz w:val="32"/>
          <w:szCs w:val="28"/>
        </w:rPr>
        <w:t>础教育改革重难点及热点，提供课题指南供选题参考。申报课题时可参考指南，结合高中学习资源包（免费教辅电子版）建设实际，强化综合实践性，坚持目标、问题、创新导向和质量为本，立足课程改革深化科学选题，推动育人方式变革，关注学生个性化发展需求。</w:t>
      </w:r>
    </w:p>
    <w:p w14:paraId="053A35E4">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kern w:val="0"/>
          <w:sz w:val="32"/>
          <w:szCs w:val="28"/>
        </w:rPr>
      </w:pPr>
      <w:r>
        <w:rPr>
          <w:rFonts w:hint="eastAsia" w:ascii="黑体" w:hAnsi="黑体" w:eastAsia="黑体" w:cs="黑体"/>
          <w:snapToGrid w:val="0"/>
          <w:kern w:val="0"/>
          <w:sz w:val="32"/>
          <w:szCs w:val="28"/>
        </w:rPr>
        <w:t>一、语文</w:t>
      </w:r>
    </w:p>
    <w:p w14:paraId="41A29E34">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1.语文复习资源数字化融合与高效教学应用研究</w:t>
      </w:r>
    </w:p>
    <w:p w14:paraId="297B1ABB">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2.以资源建设为载体的语文教师命题能力提升策略研究</w:t>
      </w:r>
    </w:p>
    <w:p w14:paraId="74B6F87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3.语文资源在不同层级学校中的应用差异与均衡配置研究</w:t>
      </w:r>
    </w:p>
    <w:p w14:paraId="0E64207A">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4.基于学业质量标准的高中语文同步作业编写研究</w:t>
      </w:r>
    </w:p>
    <w:p w14:paraId="5E4FD23C">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5.新高考背景下作文指导策略研究</w:t>
      </w:r>
    </w:p>
    <w:p w14:paraId="74EBFC6F">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6.新高考背景下高三语文二轮复习易错点、重难点突破型复习资源开发研究</w:t>
      </w:r>
    </w:p>
    <w:p w14:paraId="63BB010F">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7.统编教材信息类文本与高考考点的精准对应研究</w:t>
      </w:r>
    </w:p>
    <w:p w14:paraId="0670FE8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8.语言文字应用“基础化・主观化・综合化”命题趋势下的教学实践研究</w:t>
      </w:r>
    </w:p>
    <w:p w14:paraId="70E15B06">
      <w:pPr>
        <w:numPr>
          <w:ilvl w:val="0"/>
          <w:numId w:val="2"/>
        </w:num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kern w:val="0"/>
          <w:sz w:val="32"/>
          <w:szCs w:val="28"/>
        </w:rPr>
      </w:pPr>
      <w:r>
        <w:rPr>
          <w:rFonts w:hint="eastAsia" w:ascii="黑体" w:hAnsi="黑体" w:eastAsia="黑体" w:cs="黑体"/>
          <w:snapToGrid w:val="0"/>
          <w:kern w:val="0"/>
          <w:sz w:val="32"/>
          <w:szCs w:val="28"/>
        </w:rPr>
        <w:t>数学</w:t>
      </w:r>
    </w:p>
    <w:p w14:paraId="5D3B8D3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1.以数学思想为统领的学习资源开发与应用实践研究</w:t>
      </w:r>
    </w:p>
    <w:p w14:paraId="52E4FCAC">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2.基于核心素养提升的学习资源开发与应用实践研究</w:t>
      </w:r>
    </w:p>
    <w:p w14:paraId="16E2F969">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3.探究知识本源的学习资源开发与应用实践研究</w:t>
      </w:r>
    </w:p>
    <w:p w14:paraId="4786A58D">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kern w:val="0"/>
          <w:sz w:val="32"/>
          <w:szCs w:val="28"/>
        </w:rPr>
      </w:pPr>
      <w:r>
        <w:rPr>
          <w:rFonts w:hint="eastAsia" w:ascii="仿宋_GB2312" w:hAnsi="仿宋" w:eastAsia="仿宋_GB2312" w:cs="仿宋"/>
          <w:snapToGrid w:val="0"/>
          <w:kern w:val="0"/>
          <w:sz w:val="32"/>
          <w:szCs w:val="28"/>
        </w:rPr>
        <w:t>4.提升学习资源建设有效性与适配性的实践研究</w:t>
      </w:r>
    </w:p>
    <w:p w14:paraId="1335B49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kern w:val="0"/>
          <w:sz w:val="32"/>
          <w:szCs w:val="28"/>
        </w:rPr>
        <w:t>5.高</w:t>
      </w:r>
      <w:r>
        <w:rPr>
          <w:rFonts w:hint="eastAsia" w:ascii="仿宋_GB2312" w:hAnsi="仿宋" w:eastAsia="仿宋_GB2312" w:cs="仿宋"/>
          <w:snapToGrid w:val="0"/>
          <w:color w:val="000000" w:themeColor="text1"/>
          <w:kern w:val="0"/>
          <w:sz w:val="32"/>
          <w:szCs w:val="28"/>
        </w:rPr>
        <w:t>阶思维视域下数学资源建设的实践研究</w:t>
      </w:r>
    </w:p>
    <w:p w14:paraId="227B68C8">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6.核心素养导向下促进学生自主学习的数学资源构建研究</w:t>
      </w:r>
    </w:p>
    <w:p w14:paraId="71244F9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7.“三新”背景下数学学习资源的梯度与差异化教学研究</w:t>
      </w:r>
    </w:p>
    <w:p w14:paraId="13CEB2F5">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8.“三新”背景下数学学习资源作业设计的提质增效研究</w:t>
      </w:r>
    </w:p>
    <w:p w14:paraId="69A93A51">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9.“教-学-评”一致性数学学习资源建设的实施路径研究</w:t>
      </w:r>
    </w:p>
    <w:p w14:paraId="2653B184">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10.大数据支持下数学学习资源个性化自主学习模式探索</w:t>
      </w:r>
    </w:p>
    <w:p w14:paraId="7926F695">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11.基于数学学习资源开发与应用的教师能力培养研究</w:t>
      </w:r>
    </w:p>
    <w:p w14:paraId="1234A0F9">
      <w:pPr>
        <w:numPr>
          <w:ilvl w:val="0"/>
          <w:numId w:val="2"/>
        </w:numPr>
        <w:overflowPunct w:val="0"/>
        <w:autoSpaceDE w:val="0"/>
        <w:autoSpaceDN w:val="0"/>
        <w:adjustRightInd w:val="0"/>
        <w:snapToGrid w:val="0"/>
        <w:spacing w:line="585" w:lineRule="exact"/>
        <w:ind w:firstLine="640" w:firstLineChars="200"/>
        <w:contextualSpacing/>
        <w:textAlignment w:val="baseline"/>
        <w:rPr>
          <w:rFonts w:ascii="黑体" w:hAnsi="黑体" w:eastAsia="黑体" w:cs="仿宋"/>
          <w:snapToGrid w:val="0"/>
          <w:color w:val="000000" w:themeColor="text1"/>
          <w:kern w:val="0"/>
          <w:sz w:val="32"/>
          <w:szCs w:val="28"/>
        </w:rPr>
      </w:pPr>
      <w:r>
        <w:rPr>
          <w:rFonts w:hint="eastAsia" w:ascii="黑体" w:hAnsi="黑体" w:eastAsia="黑体" w:cs="仿宋"/>
          <w:snapToGrid w:val="0"/>
          <w:color w:val="000000" w:themeColor="text1"/>
          <w:kern w:val="0"/>
          <w:sz w:val="32"/>
          <w:szCs w:val="28"/>
        </w:rPr>
        <w:t>英语</w:t>
      </w:r>
    </w:p>
    <w:p w14:paraId="78A493F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1.核心素养导向下英语大单元学习资源的开发与应用研究</w:t>
      </w:r>
    </w:p>
    <w:p w14:paraId="10DCC0A1">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2.新课标背景下英语分层适配型学习资源开发与实践研究</w:t>
      </w:r>
    </w:p>
    <w:p w14:paraId="69E5DD18">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3.过程性评价视角下英语配套学习资源的开发与使用研究</w:t>
      </w:r>
    </w:p>
    <w:p w14:paraId="6BDAC906">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4.基于深度学习的英语专题学习资源的建设与教学研究</w:t>
      </w:r>
    </w:p>
    <w:p w14:paraId="15967D9C">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5.高考备考分层学习资源的开发与应用效果研究</w:t>
      </w:r>
    </w:p>
    <w:p w14:paraId="66F92C68">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6.个性化学习资源的建设与应用策略研究</w:t>
      </w:r>
    </w:p>
    <w:p w14:paraId="5787822E">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7.线上线下融合式学习资源的构建与教学应用研究</w:t>
      </w:r>
    </w:p>
    <w:p w14:paraId="6897BD1E">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8.文化意识融入高中英语学习资源建设的路径与实践研究</w:t>
      </w:r>
    </w:p>
    <w:p w14:paraId="2CEBD765">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9.高中英语校本特色资源建设的开发与区域推广路径研究</w:t>
      </w:r>
    </w:p>
    <w:p w14:paraId="49E29AA5">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10.项目式学习（PBL）配套资源的开发与效能研究</w:t>
      </w:r>
    </w:p>
    <w:p w14:paraId="571430FC">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仿宋"/>
          <w:snapToGrid w:val="0"/>
          <w:color w:val="000000" w:themeColor="text1"/>
          <w:kern w:val="0"/>
          <w:sz w:val="32"/>
          <w:szCs w:val="28"/>
        </w:rPr>
      </w:pPr>
      <w:r>
        <w:rPr>
          <w:rFonts w:hint="eastAsia" w:ascii="黑体" w:hAnsi="黑体" w:eastAsia="黑体" w:cs="仿宋"/>
          <w:snapToGrid w:val="0"/>
          <w:color w:val="000000" w:themeColor="text1"/>
          <w:kern w:val="0"/>
          <w:sz w:val="32"/>
          <w:szCs w:val="28"/>
        </w:rPr>
        <w:t>四、思想政治</w:t>
      </w:r>
    </w:p>
    <w:p w14:paraId="1EAA76B2">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1.核心素养导向的思想政治学习资源建设与应用策略研究</w:t>
      </w:r>
    </w:p>
    <w:p w14:paraId="3111B8DB">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2.核心素养导向的思想政治课同步学习资源编写范式研究</w:t>
      </w:r>
    </w:p>
    <w:p w14:paraId="0C293FDA">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3.适应差异化教学的思想政治学习资源校本化应用开发与实践研究</w:t>
      </w:r>
    </w:p>
    <w:p w14:paraId="176FF65E">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4.基于</w:t>
      </w:r>
      <w:r>
        <w:rPr>
          <w:rFonts w:hint="eastAsia" w:ascii="仿宋_GB2312" w:hAnsi="仿宋" w:eastAsia="仿宋_GB2312" w:cs="仿宋"/>
          <w:snapToGrid w:val="0"/>
          <w:color w:val="000000" w:themeColor="text1"/>
          <w:kern w:val="0"/>
          <w:sz w:val="32"/>
          <w:szCs w:val="28"/>
        </w:rPr>
        <w:t>“教-学-评”</w:t>
      </w:r>
      <w:r>
        <w:rPr>
          <w:rFonts w:ascii="仿宋_GB2312" w:hAnsi="仿宋" w:eastAsia="仿宋_GB2312" w:cs="仿宋"/>
          <w:snapToGrid w:val="0"/>
          <w:color w:val="000000" w:themeColor="text1"/>
          <w:kern w:val="0"/>
          <w:sz w:val="32"/>
          <w:szCs w:val="28"/>
        </w:rPr>
        <w:t>一致性的思想政治学习资源路径研究</w:t>
      </w:r>
    </w:p>
    <w:p w14:paraId="458FAE8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5.基于真实情境的思想政治课作业设计研究</w:t>
      </w:r>
    </w:p>
    <w:p w14:paraId="054621C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6.思想政治课学习资源的阶梯化设计与分层应用研究</w:t>
      </w:r>
    </w:p>
    <w:p w14:paraId="16F0153F">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7.数字化赋能的思想政治交互式学习资源开发研究</w:t>
      </w:r>
    </w:p>
    <w:p w14:paraId="73AA466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8.思想政治议题式大单元教学配套学习资源研究</w:t>
      </w:r>
    </w:p>
    <w:p w14:paraId="06959AA6">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9.思想政治课教师使用与开发教辅资料能力提升研究</w:t>
      </w:r>
    </w:p>
    <w:p w14:paraId="5399F061">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10.思想政治学习资源的政治性、思想性、科学性、适宜性审查与质量提升研究</w:t>
      </w:r>
    </w:p>
    <w:p w14:paraId="545A05CC">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仿宋"/>
          <w:snapToGrid w:val="0"/>
          <w:color w:val="000000" w:themeColor="text1"/>
          <w:kern w:val="0"/>
          <w:sz w:val="32"/>
          <w:szCs w:val="28"/>
        </w:rPr>
      </w:pPr>
      <w:r>
        <w:rPr>
          <w:rFonts w:hint="eastAsia" w:ascii="黑体" w:hAnsi="黑体" w:eastAsia="黑体" w:cs="仿宋"/>
          <w:snapToGrid w:val="0"/>
          <w:color w:val="000000" w:themeColor="text1"/>
          <w:kern w:val="0"/>
          <w:sz w:val="32"/>
          <w:szCs w:val="28"/>
        </w:rPr>
        <w:t>五、历史</w:t>
      </w:r>
    </w:p>
    <w:p w14:paraId="3241C13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1.新时代历史优质教学资源共建共享的实践研究</w:t>
      </w:r>
    </w:p>
    <w:p w14:paraId="7029D752">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2.人工智能助力历史资源建设与素养落地实践研究</w:t>
      </w:r>
    </w:p>
    <w:p w14:paraId="6414DEDD">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3.历史资源建设促进学生素养自育的实践研究</w:t>
      </w:r>
    </w:p>
    <w:p w14:paraId="17909A55">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 xml:space="preserve">4.素养导向下历史教学资源开发与应用的实践研究 </w:t>
      </w:r>
    </w:p>
    <w:p w14:paraId="197012E5">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5.基于历史教学资源整合的素养培育实践研究</w:t>
      </w:r>
    </w:p>
    <w:p w14:paraId="32E78066">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6.问题驱动下历史教学资源建设与</w:t>
      </w:r>
      <w:r>
        <w:rPr>
          <w:rFonts w:hint="eastAsia" w:ascii="仿宋_GB2312" w:hAnsi="仿宋" w:eastAsia="仿宋_GB2312" w:cs="仿宋"/>
          <w:snapToGrid w:val="0"/>
          <w:color w:val="000000" w:themeColor="text1"/>
          <w:kern w:val="0"/>
          <w:sz w:val="32"/>
          <w:szCs w:val="28"/>
        </w:rPr>
        <w:t>优化</w:t>
      </w:r>
      <w:r>
        <w:rPr>
          <w:rFonts w:ascii="仿宋_GB2312" w:hAnsi="仿宋" w:eastAsia="仿宋_GB2312" w:cs="仿宋"/>
          <w:snapToGrid w:val="0"/>
          <w:color w:val="000000" w:themeColor="text1"/>
          <w:kern w:val="0"/>
          <w:sz w:val="32"/>
          <w:szCs w:val="28"/>
        </w:rPr>
        <w:t>实践研究</w:t>
      </w:r>
    </w:p>
    <w:p w14:paraId="3365653D">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7.项目式学习中历史教学资源整合与学生自育能力发展研究</w:t>
      </w:r>
    </w:p>
    <w:p w14:paraId="2CFE0405">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 xml:space="preserve">8.历史教学资源建设促进学生自主发展的评价研究 </w:t>
      </w:r>
    </w:p>
    <w:p w14:paraId="3A0B232B">
      <w:pPr>
        <w:overflowPunct w:val="0"/>
        <w:autoSpaceDE w:val="0"/>
        <w:autoSpaceDN w:val="0"/>
        <w:adjustRightInd w:val="0"/>
        <w:snapToGrid w:val="0"/>
        <w:spacing w:line="565" w:lineRule="exact"/>
        <w:ind w:firstLine="640" w:firstLineChars="200"/>
        <w:contextualSpacing/>
        <w:textAlignment w:val="baseline"/>
        <w:rPr>
          <w:rFonts w:ascii="黑体" w:hAnsi="黑体" w:eastAsia="黑体" w:cs="仿宋"/>
          <w:snapToGrid w:val="0"/>
          <w:color w:val="000000" w:themeColor="text1"/>
          <w:kern w:val="0"/>
          <w:sz w:val="32"/>
          <w:szCs w:val="28"/>
        </w:rPr>
      </w:pPr>
      <w:r>
        <w:rPr>
          <w:rFonts w:hint="eastAsia" w:ascii="黑体" w:hAnsi="黑体" w:eastAsia="黑体" w:cs="仿宋"/>
          <w:snapToGrid w:val="0"/>
          <w:color w:val="000000" w:themeColor="text1"/>
          <w:kern w:val="0"/>
          <w:sz w:val="32"/>
          <w:szCs w:val="28"/>
        </w:rPr>
        <w:t>六、地理</w:t>
      </w:r>
    </w:p>
    <w:p w14:paraId="376C99A5">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w:t>
      </w:r>
      <w:r>
        <w:rPr>
          <w:rFonts w:ascii="仿宋_GB2312" w:hAnsi="仿宋" w:eastAsia="仿宋_GB2312" w:cs="仿宋"/>
          <w:snapToGrid w:val="0"/>
          <w:color w:val="000000" w:themeColor="text1"/>
          <w:kern w:val="0"/>
          <w:sz w:val="32"/>
          <w:szCs w:val="28"/>
        </w:rPr>
        <w:t>新课标导向下地理学习数字资源的框架体系、资源规范与开发流程研究</w:t>
      </w:r>
    </w:p>
    <w:p w14:paraId="296AF17C">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w:t>
      </w:r>
      <w:r>
        <w:rPr>
          <w:rFonts w:ascii="仿宋_GB2312" w:hAnsi="仿宋" w:eastAsia="仿宋_GB2312" w:cs="仿宋"/>
          <w:snapToGrid w:val="0"/>
          <w:color w:val="000000" w:themeColor="text1"/>
          <w:kern w:val="0"/>
          <w:sz w:val="32"/>
          <w:szCs w:val="28"/>
        </w:rPr>
        <w:t>核心素养导向的地理“大概念</w:t>
      </w:r>
      <w:r>
        <w:rPr>
          <w:rFonts w:hint="eastAsia" w:ascii="仿宋_GB2312" w:hAnsi="仿宋" w:eastAsia="仿宋_GB2312" w:cs="仿宋"/>
          <w:snapToGrid w:val="0"/>
          <w:color w:val="000000" w:themeColor="text1"/>
          <w:kern w:val="0"/>
          <w:sz w:val="32"/>
          <w:szCs w:val="28"/>
        </w:rPr>
        <w:t>-</w:t>
      </w:r>
      <w:r>
        <w:rPr>
          <w:rFonts w:ascii="仿宋_GB2312" w:hAnsi="仿宋" w:eastAsia="仿宋_GB2312" w:cs="仿宋"/>
          <w:snapToGrid w:val="0"/>
          <w:color w:val="000000" w:themeColor="text1"/>
          <w:kern w:val="0"/>
          <w:sz w:val="32"/>
          <w:szCs w:val="28"/>
        </w:rPr>
        <w:t>关键问题</w:t>
      </w:r>
      <w:r>
        <w:rPr>
          <w:rFonts w:hint="eastAsia" w:ascii="仿宋_GB2312" w:hAnsi="仿宋" w:eastAsia="仿宋_GB2312" w:cs="仿宋"/>
          <w:snapToGrid w:val="0"/>
          <w:color w:val="000000" w:themeColor="text1"/>
          <w:kern w:val="0"/>
          <w:sz w:val="32"/>
          <w:szCs w:val="28"/>
        </w:rPr>
        <w:t>-</w:t>
      </w:r>
      <w:r>
        <w:rPr>
          <w:rFonts w:ascii="仿宋_GB2312" w:hAnsi="仿宋" w:eastAsia="仿宋_GB2312" w:cs="仿宋"/>
          <w:snapToGrid w:val="0"/>
          <w:color w:val="000000" w:themeColor="text1"/>
          <w:kern w:val="0"/>
          <w:sz w:val="32"/>
          <w:szCs w:val="28"/>
        </w:rPr>
        <w:t>学习任务</w:t>
      </w:r>
      <w:r>
        <w:rPr>
          <w:rFonts w:hint="eastAsia" w:ascii="仿宋_GB2312" w:hAnsi="仿宋" w:eastAsia="仿宋_GB2312" w:cs="仿宋"/>
          <w:snapToGrid w:val="0"/>
          <w:color w:val="000000" w:themeColor="text1"/>
          <w:kern w:val="0"/>
          <w:sz w:val="32"/>
          <w:szCs w:val="28"/>
        </w:rPr>
        <w:t>”</w:t>
      </w:r>
      <w:r>
        <w:rPr>
          <w:rFonts w:ascii="仿宋_GB2312" w:hAnsi="仿宋" w:eastAsia="仿宋_GB2312" w:cs="仿宋"/>
          <w:snapToGrid w:val="0"/>
          <w:color w:val="000000" w:themeColor="text1"/>
          <w:kern w:val="0"/>
          <w:sz w:val="32"/>
          <w:szCs w:val="28"/>
        </w:rPr>
        <w:t>资源群开发与应用研究</w:t>
      </w:r>
    </w:p>
    <w:p w14:paraId="1C0DD9B9">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w:t>
      </w:r>
      <w:r>
        <w:rPr>
          <w:rFonts w:ascii="仿宋_GB2312" w:hAnsi="仿宋" w:eastAsia="仿宋_GB2312" w:cs="仿宋"/>
          <w:snapToGrid w:val="0"/>
          <w:color w:val="000000" w:themeColor="text1"/>
          <w:kern w:val="0"/>
          <w:sz w:val="32"/>
          <w:szCs w:val="28"/>
        </w:rPr>
        <w:t>面向“地理实践力”的地理活动化/项目化任务资源</w:t>
      </w:r>
      <w:r>
        <w:rPr>
          <w:rFonts w:hint="eastAsia" w:ascii="仿宋_GB2312" w:hAnsi="仿宋" w:eastAsia="仿宋_GB2312" w:cs="仿宋"/>
          <w:snapToGrid w:val="0"/>
          <w:color w:val="000000" w:themeColor="text1"/>
          <w:kern w:val="0"/>
          <w:sz w:val="32"/>
          <w:szCs w:val="28"/>
        </w:rPr>
        <w:t>建设</w:t>
      </w:r>
      <w:r>
        <w:rPr>
          <w:rFonts w:ascii="仿宋_GB2312" w:hAnsi="仿宋" w:eastAsia="仿宋_GB2312" w:cs="仿宋"/>
          <w:snapToGrid w:val="0"/>
          <w:color w:val="000000" w:themeColor="text1"/>
          <w:kern w:val="0"/>
          <w:sz w:val="32"/>
          <w:szCs w:val="28"/>
        </w:rPr>
        <w:t>与课堂实施研究</w:t>
      </w:r>
    </w:p>
    <w:p w14:paraId="06AA9021">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w:t>
      </w:r>
      <w:r>
        <w:rPr>
          <w:rFonts w:ascii="仿宋_GB2312" w:hAnsi="仿宋" w:eastAsia="仿宋_GB2312" w:cs="仿宋"/>
          <w:snapToGrid w:val="0"/>
          <w:color w:val="000000" w:themeColor="text1"/>
          <w:kern w:val="0"/>
          <w:sz w:val="32"/>
          <w:szCs w:val="28"/>
        </w:rPr>
        <w:t>地理情境化问题解决数字资源（真实数据/真实案例）开发与学习成效评价研究</w:t>
      </w:r>
    </w:p>
    <w:p w14:paraId="2FF71088">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w:t>
      </w:r>
      <w:r>
        <w:rPr>
          <w:rFonts w:ascii="仿宋_GB2312" w:hAnsi="仿宋" w:eastAsia="仿宋_GB2312" w:cs="仿宋"/>
          <w:snapToGrid w:val="0"/>
          <w:color w:val="000000" w:themeColor="text1"/>
          <w:kern w:val="0"/>
          <w:sz w:val="32"/>
          <w:szCs w:val="28"/>
        </w:rPr>
        <w:t>地理“地图阅读</w:t>
      </w:r>
      <w:r>
        <w:rPr>
          <w:rFonts w:hint="eastAsia" w:ascii="仿宋_GB2312" w:hAnsi="仿宋" w:eastAsia="仿宋_GB2312" w:cs="仿宋"/>
          <w:snapToGrid w:val="0"/>
          <w:color w:val="000000" w:themeColor="text1"/>
          <w:kern w:val="0"/>
          <w:sz w:val="32"/>
          <w:szCs w:val="28"/>
        </w:rPr>
        <w:t>-</w:t>
      </w:r>
      <w:r>
        <w:rPr>
          <w:rFonts w:ascii="仿宋_GB2312" w:hAnsi="仿宋" w:eastAsia="仿宋_GB2312" w:cs="仿宋"/>
          <w:snapToGrid w:val="0"/>
          <w:color w:val="000000" w:themeColor="text1"/>
          <w:kern w:val="0"/>
          <w:sz w:val="32"/>
          <w:szCs w:val="28"/>
        </w:rPr>
        <w:t>地图表达</w:t>
      </w:r>
      <w:r>
        <w:rPr>
          <w:rFonts w:hint="eastAsia" w:ascii="仿宋_GB2312" w:hAnsi="仿宋" w:eastAsia="仿宋_GB2312" w:cs="仿宋"/>
          <w:snapToGrid w:val="0"/>
          <w:color w:val="000000" w:themeColor="text1"/>
          <w:kern w:val="0"/>
          <w:sz w:val="32"/>
          <w:szCs w:val="28"/>
        </w:rPr>
        <w:t>-</w:t>
      </w:r>
      <w:r>
        <w:rPr>
          <w:rFonts w:ascii="仿宋_GB2312" w:hAnsi="仿宋" w:eastAsia="仿宋_GB2312" w:cs="仿宋"/>
          <w:snapToGrid w:val="0"/>
          <w:color w:val="000000" w:themeColor="text1"/>
          <w:kern w:val="0"/>
          <w:sz w:val="32"/>
          <w:szCs w:val="28"/>
        </w:rPr>
        <w:t>地图解释”能力进阶式数</w:t>
      </w:r>
      <w:r>
        <w:rPr>
          <w:rFonts w:hint="eastAsia" w:ascii="仿宋_GB2312" w:hAnsi="仿宋" w:eastAsia="仿宋_GB2312" w:cs="仿宋"/>
          <w:snapToGrid w:val="0"/>
          <w:color w:val="000000" w:themeColor="text1"/>
          <w:kern w:val="0"/>
          <w:sz w:val="32"/>
          <w:szCs w:val="28"/>
        </w:rPr>
        <w:t>字</w:t>
      </w:r>
      <w:r>
        <w:rPr>
          <w:rFonts w:ascii="仿宋_GB2312" w:hAnsi="仿宋" w:eastAsia="仿宋_GB2312" w:cs="仿宋"/>
          <w:snapToGrid w:val="0"/>
          <w:color w:val="000000" w:themeColor="text1"/>
          <w:kern w:val="0"/>
          <w:sz w:val="32"/>
          <w:szCs w:val="28"/>
        </w:rPr>
        <w:t>资源建设研究</w:t>
      </w:r>
    </w:p>
    <w:p w14:paraId="63A2416E">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w:t>
      </w:r>
      <w:r>
        <w:rPr>
          <w:rFonts w:ascii="仿宋_GB2312" w:hAnsi="仿宋" w:eastAsia="仿宋_GB2312" w:cs="仿宋"/>
          <w:snapToGrid w:val="0"/>
          <w:color w:val="000000" w:themeColor="text1"/>
          <w:kern w:val="0"/>
          <w:sz w:val="32"/>
          <w:szCs w:val="28"/>
        </w:rPr>
        <w:t>地理分层作业数字资源库（基础</w:t>
      </w:r>
      <w:r>
        <w:rPr>
          <w:rFonts w:hint="eastAsia" w:ascii="仿宋_GB2312" w:hAnsi="仿宋" w:eastAsia="仿宋_GB2312" w:cs="仿宋"/>
          <w:snapToGrid w:val="0"/>
          <w:color w:val="000000" w:themeColor="text1"/>
          <w:kern w:val="0"/>
          <w:sz w:val="32"/>
          <w:szCs w:val="28"/>
        </w:rPr>
        <w:t>-</w:t>
      </w:r>
      <w:r>
        <w:rPr>
          <w:rFonts w:ascii="仿宋_GB2312" w:hAnsi="仿宋" w:eastAsia="仿宋_GB2312" w:cs="仿宋"/>
          <w:snapToGrid w:val="0"/>
          <w:color w:val="000000" w:themeColor="text1"/>
          <w:kern w:val="0"/>
          <w:sz w:val="32"/>
          <w:szCs w:val="28"/>
        </w:rPr>
        <w:t>提升</w:t>
      </w:r>
      <w:r>
        <w:rPr>
          <w:rFonts w:hint="eastAsia" w:ascii="仿宋_GB2312" w:hAnsi="仿宋" w:eastAsia="仿宋_GB2312" w:cs="仿宋"/>
          <w:snapToGrid w:val="0"/>
          <w:color w:val="000000" w:themeColor="text1"/>
          <w:kern w:val="0"/>
          <w:sz w:val="32"/>
          <w:szCs w:val="28"/>
        </w:rPr>
        <w:t>-</w:t>
      </w:r>
      <w:r>
        <w:rPr>
          <w:rFonts w:ascii="仿宋_GB2312" w:hAnsi="仿宋" w:eastAsia="仿宋_GB2312" w:cs="仿宋"/>
          <w:snapToGrid w:val="0"/>
          <w:color w:val="000000" w:themeColor="text1"/>
          <w:kern w:val="0"/>
          <w:sz w:val="32"/>
          <w:szCs w:val="28"/>
        </w:rPr>
        <w:t>拓展）建设与减负增效研究</w:t>
      </w:r>
    </w:p>
    <w:p w14:paraId="36243989">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w:t>
      </w:r>
      <w:r>
        <w:rPr>
          <w:rFonts w:ascii="仿宋_GB2312" w:hAnsi="仿宋" w:eastAsia="仿宋_GB2312" w:cs="仿宋"/>
          <w:snapToGrid w:val="0"/>
          <w:color w:val="000000" w:themeColor="text1"/>
          <w:kern w:val="0"/>
          <w:sz w:val="32"/>
          <w:szCs w:val="28"/>
        </w:rPr>
        <w:t>基于学情数据的地理“诊断</w:t>
      </w:r>
      <w:r>
        <w:rPr>
          <w:rFonts w:hint="eastAsia" w:ascii="仿宋_GB2312" w:hAnsi="仿宋" w:eastAsia="仿宋_GB2312" w:cs="仿宋"/>
          <w:snapToGrid w:val="0"/>
          <w:color w:val="000000" w:themeColor="text1"/>
          <w:kern w:val="0"/>
          <w:sz w:val="32"/>
          <w:szCs w:val="32"/>
        </w:rPr>
        <w:t>-</w:t>
      </w:r>
      <w:r>
        <w:rPr>
          <w:rFonts w:ascii="仿宋_GB2312" w:hAnsi="仿宋" w:eastAsia="仿宋_GB2312" w:cs="仿宋"/>
          <w:snapToGrid w:val="0"/>
          <w:color w:val="000000" w:themeColor="text1"/>
          <w:kern w:val="0"/>
          <w:sz w:val="32"/>
          <w:szCs w:val="28"/>
        </w:rPr>
        <w:t>推送</w:t>
      </w:r>
      <w:r>
        <w:rPr>
          <w:rFonts w:hint="eastAsia" w:ascii="仿宋_GB2312" w:hAnsi="仿宋" w:eastAsia="仿宋_GB2312" w:cs="仿宋"/>
          <w:snapToGrid w:val="0"/>
          <w:color w:val="000000" w:themeColor="text1"/>
          <w:kern w:val="0"/>
          <w:sz w:val="32"/>
          <w:szCs w:val="32"/>
        </w:rPr>
        <w:t>-</w:t>
      </w:r>
      <w:r>
        <w:rPr>
          <w:rFonts w:ascii="仿宋_GB2312" w:hAnsi="仿宋" w:eastAsia="仿宋_GB2312" w:cs="仿宋"/>
          <w:snapToGrid w:val="0"/>
          <w:color w:val="000000" w:themeColor="text1"/>
          <w:kern w:val="0"/>
          <w:sz w:val="32"/>
          <w:szCs w:val="28"/>
        </w:rPr>
        <w:t>再学习</w:t>
      </w:r>
      <w:r>
        <w:rPr>
          <w:rFonts w:hint="eastAsia" w:ascii="仿宋_GB2312" w:hAnsi="仿宋" w:eastAsia="仿宋_GB2312" w:cs="仿宋"/>
          <w:snapToGrid w:val="0"/>
          <w:color w:val="000000" w:themeColor="text1"/>
          <w:kern w:val="0"/>
          <w:sz w:val="32"/>
          <w:szCs w:val="32"/>
        </w:rPr>
        <w:t>-</w:t>
      </w:r>
      <w:r>
        <w:rPr>
          <w:rFonts w:ascii="仿宋_GB2312" w:hAnsi="仿宋" w:eastAsia="仿宋_GB2312" w:cs="仿宋"/>
          <w:snapToGrid w:val="0"/>
          <w:color w:val="000000" w:themeColor="text1"/>
          <w:kern w:val="0"/>
          <w:sz w:val="32"/>
          <w:szCs w:val="28"/>
        </w:rPr>
        <w:t>再测评”闭环资源建设研究</w:t>
      </w:r>
    </w:p>
    <w:p w14:paraId="050F84E2">
      <w:pPr>
        <w:overflowPunct w:val="0"/>
        <w:autoSpaceDE w:val="0"/>
        <w:autoSpaceDN w:val="0"/>
        <w:adjustRightInd w:val="0"/>
        <w:snapToGrid w:val="0"/>
        <w:spacing w:line="56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w:t>
      </w:r>
      <w:r>
        <w:rPr>
          <w:rFonts w:ascii="仿宋_GB2312" w:hAnsi="仿宋" w:eastAsia="仿宋_GB2312" w:cs="仿宋"/>
          <w:snapToGrid w:val="0"/>
          <w:color w:val="000000" w:themeColor="text1"/>
          <w:kern w:val="0"/>
          <w:sz w:val="32"/>
          <w:szCs w:val="28"/>
        </w:rPr>
        <w:t>地理学习数字资源的质量标准、审核评价指标与动态迭代机制研究</w:t>
      </w:r>
    </w:p>
    <w:p w14:paraId="26627DCD">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黑体" w:hAnsi="黑体" w:eastAsia="黑体" w:cs="黑体"/>
          <w:snapToGrid w:val="0"/>
          <w:color w:val="000000" w:themeColor="text1"/>
          <w:kern w:val="0"/>
          <w:sz w:val="32"/>
          <w:szCs w:val="28"/>
        </w:rPr>
        <w:t>七、物理</w:t>
      </w:r>
    </w:p>
    <w:p w14:paraId="2371BC2A">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1.核心素养导向下物理学习资源建设与应用研究</w:t>
      </w:r>
    </w:p>
    <w:p w14:paraId="3DC79597">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2.新高考情境化导向</w:t>
      </w:r>
      <w:r>
        <w:rPr>
          <w:rFonts w:ascii="仿宋_GB2312" w:hAnsi="仿宋" w:eastAsia="仿宋_GB2312" w:cs="仿宋"/>
          <w:snapToGrid w:val="0"/>
          <w:color w:val="000000" w:themeColor="text1"/>
          <w:kern w:val="0"/>
          <w:sz w:val="32"/>
          <w:szCs w:val="28"/>
        </w:rPr>
        <w:t>的</w:t>
      </w:r>
      <w:r>
        <w:rPr>
          <w:rFonts w:hint="eastAsia" w:ascii="仿宋_GB2312" w:hAnsi="仿宋" w:eastAsia="仿宋_GB2312" w:cs="仿宋"/>
          <w:snapToGrid w:val="0"/>
          <w:color w:val="000000" w:themeColor="text1"/>
          <w:kern w:val="0"/>
          <w:sz w:val="32"/>
          <w:szCs w:val="28"/>
        </w:rPr>
        <w:t>物理作业</w:t>
      </w:r>
      <w:r>
        <w:rPr>
          <w:rFonts w:ascii="仿宋_GB2312" w:hAnsi="仿宋" w:eastAsia="仿宋_GB2312" w:cs="仿宋"/>
          <w:snapToGrid w:val="0"/>
          <w:color w:val="000000" w:themeColor="text1"/>
          <w:kern w:val="0"/>
          <w:sz w:val="32"/>
          <w:szCs w:val="28"/>
        </w:rPr>
        <w:t>资源开发与实践研究</w:t>
      </w:r>
    </w:p>
    <w:p w14:paraId="78BE2C2F">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3.过程性评价视角下物理配套学习资源的开发与使用研究</w:t>
      </w:r>
    </w:p>
    <w:p w14:paraId="5B4E7A74">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4.核心素养导向下物理分层作业学习资源的开发与应用研究</w:t>
      </w:r>
    </w:p>
    <w:p w14:paraId="31F9717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5.物理项目式学习资源案例建设与应用策略研究</w:t>
      </w:r>
    </w:p>
    <w:p w14:paraId="2C01FEC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6.AI</w:t>
      </w:r>
      <w:r>
        <w:rPr>
          <w:rFonts w:ascii="仿宋_GB2312" w:hAnsi="仿宋" w:eastAsia="仿宋_GB2312" w:cs="仿宋"/>
          <w:snapToGrid w:val="0"/>
          <w:color w:val="000000" w:themeColor="text1"/>
          <w:kern w:val="0"/>
          <w:sz w:val="32"/>
          <w:szCs w:val="28"/>
        </w:rPr>
        <w:t>赋能</w:t>
      </w:r>
      <w:r>
        <w:rPr>
          <w:rFonts w:hint="eastAsia" w:ascii="仿宋_GB2312" w:hAnsi="仿宋" w:eastAsia="仿宋_GB2312" w:cs="仿宋"/>
          <w:snapToGrid w:val="0"/>
          <w:color w:val="000000" w:themeColor="text1"/>
          <w:kern w:val="0"/>
          <w:sz w:val="32"/>
          <w:szCs w:val="28"/>
        </w:rPr>
        <w:t>物理学习</w:t>
      </w:r>
      <w:r>
        <w:rPr>
          <w:rFonts w:ascii="仿宋_GB2312" w:hAnsi="仿宋" w:eastAsia="仿宋_GB2312" w:cs="仿宋"/>
          <w:snapToGrid w:val="0"/>
          <w:color w:val="000000" w:themeColor="text1"/>
          <w:kern w:val="0"/>
          <w:sz w:val="32"/>
          <w:szCs w:val="28"/>
        </w:rPr>
        <w:t>资源</w:t>
      </w:r>
      <w:r>
        <w:rPr>
          <w:rFonts w:hint="eastAsia" w:ascii="仿宋_GB2312" w:hAnsi="仿宋" w:eastAsia="仿宋_GB2312" w:cs="仿宋"/>
          <w:snapToGrid w:val="0"/>
          <w:color w:val="000000" w:themeColor="text1"/>
          <w:kern w:val="0"/>
          <w:sz w:val="32"/>
          <w:szCs w:val="28"/>
        </w:rPr>
        <w:t>编写</w:t>
      </w:r>
      <w:r>
        <w:rPr>
          <w:rFonts w:ascii="仿宋_GB2312" w:hAnsi="仿宋" w:eastAsia="仿宋_GB2312" w:cs="仿宋"/>
          <w:snapToGrid w:val="0"/>
          <w:color w:val="000000" w:themeColor="text1"/>
          <w:kern w:val="0"/>
          <w:sz w:val="32"/>
          <w:szCs w:val="28"/>
        </w:rPr>
        <w:t>的实践研究</w:t>
      </w:r>
    </w:p>
    <w:p w14:paraId="7431FBA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7.基于“教-学-评”一致性的物理学习资源整合路径研究</w:t>
      </w:r>
    </w:p>
    <w:p w14:paraId="70F3891A">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8.物理数字学习资源的动态更新与迭代机制策略研究</w:t>
      </w:r>
    </w:p>
    <w:p w14:paraId="60EED771">
      <w:pPr>
        <w:overflowPunct w:val="0"/>
        <w:autoSpaceDE w:val="0"/>
        <w:autoSpaceDN w:val="0"/>
        <w:adjustRightInd w:val="0"/>
        <w:snapToGrid w:val="0"/>
        <w:spacing w:line="585" w:lineRule="exact"/>
        <w:ind w:firstLine="640" w:firstLineChars="200"/>
        <w:contextualSpacing/>
        <w:textAlignment w:val="baseline"/>
        <w:rPr>
          <w:rFonts w:ascii="黑体" w:hAnsi="黑体" w:eastAsia="黑体" w:cs="黑体"/>
          <w:snapToGrid w:val="0"/>
          <w:color w:val="000000" w:themeColor="text1"/>
          <w:kern w:val="0"/>
          <w:sz w:val="32"/>
          <w:szCs w:val="28"/>
        </w:rPr>
      </w:pPr>
      <w:r>
        <w:rPr>
          <w:rFonts w:hint="eastAsia" w:ascii="黑体" w:hAnsi="黑体" w:eastAsia="黑体" w:cs="黑体"/>
          <w:snapToGrid w:val="0"/>
          <w:color w:val="000000" w:themeColor="text1"/>
          <w:kern w:val="0"/>
          <w:sz w:val="32"/>
          <w:szCs w:val="28"/>
        </w:rPr>
        <w:t>八、化学</w:t>
      </w:r>
    </w:p>
    <w:p w14:paraId="3BCDC496">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1.基于核心素养理念的化学同步学习资源建设与实践研究</w:t>
      </w:r>
    </w:p>
    <w:p w14:paraId="62BECFD7">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2.高考评价体系下高中化学一轮/二轮总复习学习资源建设与实践研究</w:t>
      </w:r>
    </w:p>
    <w:p w14:paraId="7A403E2C">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3.基于真实情境的化学原创试题资源开发与实践研究</w:t>
      </w:r>
    </w:p>
    <w:p w14:paraId="1B0C3FC5">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4.基于“教-学-评”一致性的化学学习资源开发与策略研究</w:t>
      </w:r>
    </w:p>
    <w:p w14:paraId="1B84B27F">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5.AI赋能化学学习资源分层设计与减负增效实践研究</w:t>
      </w:r>
    </w:p>
    <w:p w14:paraId="6AE127A6">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6.AI赋能化学学习资源质量评价与实践研究</w:t>
      </w:r>
    </w:p>
    <w:p w14:paraId="2D8765B3">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7.新高考背景下化学学习资源中实验素材的开发与研究</w:t>
      </w:r>
    </w:p>
    <w:p w14:paraId="5276C357">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8.基于学习资源建设的化学教师命题能力提升策略研究</w:t>
      </w:r>
    </w:p>
    <w:p w14:paraId="0624BC01">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9.化学学习资源多维细目表的设计与实践研究</w:t>
      </w:r>
    </w:p>
    <w:p w14:paraId="4469427C">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hint="eastAsia" w:ascii="仿宋_GB2312" w:hAnsi="仿宋" w:eastAsia="仿宋_GB2312" w:cs="仿宋"/>
          <w:snapToGrid w:val="0"/>
          <w:color w:val="000000" w:themeColor="text1"/>
          <w:kern w:val="0"/>
          <w:sz w:val="32"/>
          <w:szCs w:val="28"/>
        </w:rPr>
        <w:t>10.AI赋能化学学习资源编审的实践研究</w:t>
      </w:r>
    </w:p>
    <w:p w14:paraId="79EDB7A0">
      <w:pPr>
        <w:spacing w:line="585" w:lineRule="exact"/>
        <w:ind w:firstLine="640" w:firstLineChars="200"/>
        <w:rPr>
          <w:rFonts w:ascii="黑体" w:hAnsi="黑体" w:eastAsia="黑体" w:cs="仿宋"/>
          <w:snapToGrid w:val="0"/>
          <w:color w:val="000000" w:themeColor="text1"/>
          <w:kern w:val="0"/>
          <w:sz w:val="32"/>
          <w:szCs w:val="28"/>
        </w:rPr>
      </w:pPr>
      <w:r>
        <w:rPr>
          <w:rFonts w:hint="eastAsia" w:ascii="黑体" w:hAnsi="黑体" w:eastAsia="黑体" w:cs="仿宋"/>
          <w:snapToGrid w:val="0"/>
          <w:color w:val="000000" w:themeColor="text1"/>
          <w:kern w:val="0"/>
          <w:sz w:val="32"/>
          <w:szCs w:val="28"/>
        </w:rPr>
        <w:t>九、生物学</w:t>
      </w:r>
    </w:p>
    <w:p w14:paraId="60E2C9B8">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1.核心素养导向下生物学学习资源建设实践研究</w:t>
      </w:r>
    </w:p>
    <w:p w14:paraId="0DF228E1">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2.基于真实情境的生物学原创试题资源开发与实践研究</w:t>
      </w:r>
    </w:p>
    <w:p w14:paraId="48BC58B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3.“</w:t>
      </w:r>
      <w:r>
        <w:rPr>
          <w:rFonts w:hint="eastAsia" w:ascii="仿宋_GB2312" w:hAnsi="仿宋" w:eastAsia="仿宋_GB2312" w:cs="仿宋"/>
          <w:snapToGrid w:val="0"/>
          <w:color w:val="000000" w:themeColor="text1"/>
          <w:kern w:val="0"/>
          <w:sz w:val="32"/>
          <w:szCs w:val="28"/>
        </w:rPr>
        <w:t>教-学-评</w:t>
      </w:r>
      <w:r>
        <w:rPr>
          <w:rFonts w:ascii="仿宋_GB2312" w:hAnsi="仿宋" w:eastAsia="仿宋_GB2312" w:cs="仿宋"/>
          <w:snapToGrid w:val="0"/>
          <w:color w:val="000000" w:themeColor="text1"/>
          <w:kern w:val="0"/>
          <w:sz w:val="32"/>
          <w:szCs w:val="28"/>
        </w:rPr>
        <w:t>”一体化理念下的生物学学习资源反馈与评价机制研究</w:t>
      </w:r>
    </w:p>
    <w:p w14:paraId="122BABE4">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4.普通生物学学习资源的项目式学习（PBL）资源开发研究</w:t>
      </w:r>
    </w:p>
    <w:p w14:paraId="45698DE7">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5.AI赋能生物学</w:t>
      </w:r>
      <w:r>
        <w:rPr>
          <w:rFonts w:hint="eastAsia" w:ascii="仿宋_GB2312" w:hAnsi="仿宋" w:eastAsia="仿宋_GB2312" w:cs="仿宋"/>
          <w:snapToGrid w:val="0"/>
          <w:color w:val="000000" w:themeColor="text1"/>
          <w:kern w:val="0"/>
          <w:sz w:val="32"/>
          <w:szCs w:val="28"/>
        </w:rPr>
        <w:t>教学</w:t>
      </w:r>
      <w:r>
        <w:rPr>
          <w:rFonts w:ascii="仿宋_GB2312" w:hAnsi="仿宋" w:eastAsia="仿宋_GB2312" w:cs="仿宋"/>
          <w:snapToGrid w:val="0"/>
          <w:color w:val="000000" w:themeColor="text1"/>
          <w:kern w:val="0"/>
          <w:sz w:val="32"/>
          <w:szCs w:val="28"/>
        </w:rPr>
        <w:t>资源编审的实践研究</w:t>
      </w:r>
    </w:p>
    <w:p w14:paraId="66D253D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6.普通生物学学习资源试题情境评估与优化研究</w:t>
      </w:r>
    </w:p>
    <w:p w14:paraId="296EAE99">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7.基于大概念的生物学一/二轮复习知识图谱构建与资源开发研究</w:t>
      </w:r>
    </w:p>
    <w:p w14:paraId="680E3290">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8.生物学资源实践中试题的优化与迭代策略研究</w:t>
      </w:r>
    </w:p>
    <w:p w14:paraId="07BC780D">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9.生物学学习资源双向细目表的精准设计与实践研究</w:t>
      </w:r>
    </w:p>
    <w:p w14:paraId="3B888A4F">
      <w:pPr>
        <w:overflowPunct w:val="0"/>
        <w:autoSpaceDE w:val="0"/>
        <w:autoSpaceDN w:val="0"/>
        <w:adjustRightInd w:val="0"/>
        <w:snapToGrid w:val="0"/>
        <w:spacing w:line="585" w:lineRule="exact"/>
        <w:ind w:firstLine="640" w:firstLineChars="200"/>
        <w:contextualSpacing/>
        <w:textAlignment w:val="baseline"/>
        <w:rPr>
          <w:rFonts w:ascii="仿宋_GB2312" w:hAnsi="仿宋" w:eastAsia="仿宋_GB2312" w:cs="仿宋"/>
          <w:snapToGrid w:val="0"/>
          <w:color w:val="000000" w:themeColor="text1"/>
          <w:kern w:val="0"/>
          <w:sz w:val="32"/>
          <w:szCs w:val="28"/>
        </w:rPr>
      </w:pPr>
      <w:r>
        <w:rPr>
          <w:rFonts w:ascii="仿宋_GB2312" w:hAnsi="仿宋" w:eastAsia="仿宋_GB2312" w:cs="仿宋"/>
          <w:snapToGrid w:val="0"/>
          <w:color w:val="000000" w:themeColor="text1"/>
          <w:kern w:val="0"/>
          <w:sz w:val="32"/>
          <w:szCs w:val="28"/>
        </w:rPr>
        <w:t>10.适应差异化教学的学习资源校本化应用与实践研究</w:t>
      </w:r>
    </w:p>
    <w:p w14:paraId="6324714C">
      <w:pPr>
        <w:widowControl/>
        <w:jc w:val="left"/>
        <w:rPr>
          <w:rFonts w:ascii="仿宋_GB2312" w:hAnsi="仿宋" w:eastAsia="仿宋_GB2312" w:cs="仿宋"/>
          <w:sz w:val="32"/>
          <w:szCs w:val="28"/>
        </w:rPr>
      </w:pPr>
      <w:r>
        <w:rPr>
          <w:rFonts w:ascii="仿宋_GB2312" w:hAnsi="仿宋" w:eastAsia="仿宋_GB2312" w:cs="仿宋"/>
          <w:sz w:val="32"/>
          <w:szCs w:val="28"/>
        </w:rPr>
        <w:br w:type="page"/>
      </w:r>
    </w:p>
    <w:p w14:paraId="4A89DB3E">
      <w:pPr>
        <w:overflowPunct w:val="0"/>
        <w:autoSpaceDE w:val="0"/>
        <w:autoSpaceDN w:val="0"/>
        <w:adjustRightInd w:val="0"/>
        <w:snapToGrid w:val="0"/>
        <w:spacing w:line="565" w:lineRule="exact"/>
        <w:contextualSpacing/>
        <w:textAlignment w:val="baseline"/>
        <w:rPr>
          <w:rFonts w:ascii="黑体" w:hAnsi="黑体" w:eastAsia="黑体" w:cs="黑体"/>
          <w:snapToGrid w:val="0"/>
          <w:kern w:val="0"/>
          <w:sz w:val="32"/>
          <w:szCs w:val="32"/>
        </w:rPr>
      </w:pPr>
      <w:r>
        <w:rPr>
          <w:rFonts w:ascii="黑体" w:hAnsi="黑体" w:eastAsia="黑体" w:cs="黑体"/>
          <w:snapToGrid w:val="0"/>
          <w:kern w:val="0"/>
          <w:sz w:val="32"/>
          <w:szCs w:val="32"/>
        </w:rPr>
        <w:t>附件</w:t>
      </w:r>
      <w:r>
        <w:rPr>
          <w:rFonts w:hint="eastAsia" w:ascii="黑体" w:hAnsi="黑体" w:eastAsia="黑体" w:cs="黑体"/>
          <w:snapToGrid w:val="0"/>
          <w:kern w:val="0"/>
          <w:sz w:val="32"/>
          <w:szCs w:val="32"/>
        </w:rPr>
        <w:t>4</w:t>
      </w:r>
    </w:p>
    <w:p w14:paraId="6F027883">
      <w:pPr>
        <w:widowControl/>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44"/>
        </w:rPr>
      </w:pPr>
    </w:p>
    <w:p w14:paraId="5394EE60">
      <w:pPr>
        <w:widowControl/>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44"/>
        </w:rPr>
      </w:pPr>
      <w:r>
        <w:rPr>
          <w:rFonts w:hint="eastAsia" w:ascii="方正小标宋简体" w:hAnsi="微软雅黑" w:eastAsia="方正小标宋简体" w:cs="微软雅黑"/>
          <w:snapToGrid w:val="0"/>
          <w:kern w:val="0"/>
          <w:sz w:val="44"/>
          <w:szCs w:val="44"/>
        </w:rPr>
        <w:t>2026年江西省基础教育研究课题申报</w:t>
      </w:r>
    </w:p>
    <w:p w14:paraId="618DBE8B">
      <w:pPr>
        <w:widowControl/>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44"/>
        </w:rPr>
      </w:pPr>
      <w:r>
        <w:rPr>
          <w:rFonts w:hint="eastAsia" w:ascii="方正小标宋简体" w:hAnsi="微软雅黑" w:eastAsia="方正小标宋简体" w:cs="微软雅黑"/>
          <w:snapToGrid w:val="0"/>
          <w:kern w:val="0"/>
          <w:sz w:val="44"/>
          <w:szCs w:val="44"/>
        </w:rPr>
        <w:t>名额分配指标</w:t>
      </w:r>
    </w:p>
    <w:p w14:paraId="09DAE41E">
      <w:pPr>
        <w:widowControl/>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44"/>
        </w:rPr>
      </w:pPr>
    </w:p>
    <w:tbl>
      <w:tblPr>
        <w:tblStyle w:val="8"/>
        <w:tblW w:w="91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34"/>
        <w:gridCol w:w="5982"/>
      </w:tblGrid>
      <w:tr w14:paraId="7B262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3134" w:type="dxa"/>
            <w:vAlign w:val="center"/>
          </w:tcPr>
          <w:p w14:paraId="006963EC">
            <w:pPr>
              <w:spacing w:line="400" w:lineRule="exact"/>
              <w:jc w:val="center"/>
              <w:rPr>
                <w:rFonts w:ascii="黑体" w:hAnsi="黑体" w:eastAsia="黑体"/>
                <w:sz w:val="28"/>
              </w:rPr>
            </w:pPr>
            <w:r>
              <w:rPr>
                <w:rFonts w:hint="eastAsia" w:ascii="黑体" w:hAnsi="黑体" w:eastAsia="黑体"/>
                <w:sz w:val="28"/>
              </w:rPr>
              <w:t>设区市/省直</w:t>
            </w:r>
          </w:p>
        </w:tc>
        <w:tc>
          <w:tcPr>
            <w:tcW w:w="5982" w:type="dxa"/>
            <w:vAlign w:val="center"/>
          </w:tcPr>
          <w:p w14:paraId="21F16DD6">
            <w:pPr>
              <w:spacing w:line="400" w:lineRule="exact"/>
              <w:jc w:val="center"/>
              <w:rPr>
                <w:rFonts w:ascii="黑体" w:hAnsi="黑体" w:eastAsia="黑体"/>
                <w:sz w:val="28"/>
              </w:rPr>
            </w:pPr>
            <w:r>
              <w:rPr>
                <w:rFonts w:hint="eastAsia" w:ascii="黑体" w:hAnsi="黑体" w:eastAsia="黑体"/>
                <w:sz w:val="28"/>
              </w:rPr>
              <w:t>申报限额数（单位：项）</w:t>
            </w:r>
          </w:p>
        </w:tc>
      </w:tr>
      <w:tr w14:paraId="1B164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4903CF86">
            <w:pPr>
              <w:spacing w:line="400" w:lineRule="exact"/>
              <w:jc w:val="center"/>
              <w:rPr>
                <w:rFonts w:ascii="仿宋_GB2312" w:eastAsia="仿宋_GB2312"/>
                <w:sz w:val="28"/>
              </w:rPr>
            </w:pPr>
            <w:r>
              <w:rPr>
                <w:rFonts w:hint="eastAsia" w:ascii="仿宋_GB2312" w:eastAsia="仿宋_GB2312"/>
                <w:sz w:val="28"/>
              </w:rPr>
              <w:t>南昌</w:t>
            </w:r>
          </w:p>
        </w:tc>
        <w:tc>
          <w:tcPr>
            <w:tcW w:w="5982" w:type="dxa"/>
            <w:vAlign w:val="center"/>
          </w:tcPr>
          <w:p w14:paraId="395F8EB1">
            <w:pPr>
              <w:spacing w:line="400" w:lineRule="exact"/>
              <w:jc w:val="center"/>
              <w:rPr>
                <w:rFonts w:ascii="仿宋_GB2312" w:eastAsia="仿宋_GB2312"/>
                <w:sz w:val="28"/>
              </w:rPr>
            </w:pPr>
            <w:r>
              <w:rPr>
                <w:rFonts w:hint="eastAsia" w:ascii="仿宋_GB2312" w:eastAsia="仿宋_GB2312"/>
                <w:sz w:val="28"/>
              </w:rPr>
              <w:t>103（含龙头课题5）（含赣江新区3）</w:t>
            </w:r>
          </w:p>
        </w:tc>
      </w:tr>
      <w:tr w14:paraId="0F17B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58E0758C">
            <w:pPr>
              <w:spacing w:line="400" w:lineRule="exact"/>
              <w:jc w:val="center"/>
              <w:rPr>
                <w:rFonts w:ascii="仿宋_GB2312" w:eastAsia="仿宋_GB2312"/>
                <w:sz w:val="28"/>
              </w:rPr>
            </w:pPr>
            <w:r>
              <w:rPr>
                <w:rFonts w:hint="eastAsia" w:ascii="仿宋_GB2312" w:eastAsia="仿宋_GB2312"/>
                <w:sz w:val="28"/>
              </w:rPr>
              <w:t>赣州</w:t>
            </w:r>
          </w:p>
        </w:tc>
        <w:tc>
          <w:tcPr>
            <w:tcW w:w="5982" w:type="dxa"/>
            <w:vAlign w:val="center"/>
          </w:tcPr>
          <w:p w14:paraId="723BA8B1">
            <w:pPr>
              <w:spacing w:line="400" w:lineRule="exact"/>
              <w:jc w:val="center"/>
              <w:rPr>
                <w:rFonts w:ascii="仿宋_GB2312" w:eastAsia="仿宋_GB2312"/>
                <w:sz w:val="28"/>
              </w:rPr>
            </w:pPr>
            <w:r>
              <w:rPr>
                <w:rFonts w:hint="eastAsia" w:ascii="仿宋_GB2312" w:eastAsia="仿宋_GB2312"/>
                <w:sz w:val="28"/>
              </w:rPr>
              <w:t>120（含龙头课题8）</w:t>
            </w:r>
          </w:p>
        </w:tc>
      </w:tr>
      <w:tr w14:paraId="6DEE0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78256A55">
            <w:pPr>
              <w:spacing w:line="400" w:lineRule="exact"/>
              <w:jc w:val="center"/>
              <w:rPr>
                <w:rFonts w:ascii="仿宋_GB2312" w:eastAsia="仿宋_GB2312"/>
                <w:sz w:val="28"/>
              </w:rPr>
            </w:pPr>
            <w:r>
              <w:rPr>
                <w:rFonts w:hint="eastAsia" w:ascii="仿宋_GB2312" w:eastAsia="仿宋_GB2312"/>
                <w:sz w:val="28"/>
              </w:rPr>
              <w:t>九江</w:t>
            </w:r>
          </w:p>
        </w:tc>
        <w:tc>
          <w:tcPr>
            <w:tcW w:w="5982" w:type="dxa"/>
            <w:vAlign w:val="center"/>
          </w:tcPr>
          <w:p w14:paraId="3C885D22">
            <w:pPr>
              <w:spacing w:line="400" w:lineRule="exact"/>
              <w:jc w:val="center"/>
              <w:rPr>
                <w:rFonts w:ascii="仿宋_GB2312" w:eastAsia="仿宋_GB2312"/>
                <w:sz w:val="28"/>
              </w:rPr>
            </w:pPr>
            <w:r>
              <w:rPr>
                <w:rFonts w:hint="eastAsia" w:ascii="仿宋_GB2312" w:eastAsia="仿宋_GB2312"/>
                <w:sz w:val="28"/>
              </w:rPr>
              <w:t>100（含龙头课题5）</w:t>
            </w:r>
          </w:p>
        </w:tc>
      </w:tr>
      <w:tr w14:paraId="66AAC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65EFFDD5">
            <w:pPr>
              <w:spacing w:line="400" w:lineRule="exact"/>
              <w:jc w:val="center"/>
              <w:rPr>
                <w:rFonts w:ascii="仿宋_GB2312" w:eastAsia="仿宋_GB2312"/>
                <w:sz w:val="28"/>
              </w:rPr>
            </w:pPr>
            <w:r>
              <w:rPr>
                <w:rFonts w:hint="eastAsia" w:ascii="仿宋_GB2312" w:eastAsia="仿宋_GB2312"/>
                <w:sz w:val="28"/>
              </w:rPr>
              <w:t>上饶</w:t>
            </w:r>
          </w:p>
        </w:tc>
        <w:tc>
          <w:tcPr>
            <w:tcW w:w="5982" w:type="dxa"/>
            <w:vAlign w:val="center"/>
          </w:tcPr>
          <w:p w14:paraId="4F966DA5">
            <w:pPr>
              <w:spacing w:line="400" w:lineRule="exact"/>
              <w:jc w:val="center"/>
              <w:rPr>
                <w:rFonts w:ascii="仿宋_GB2312" w:eastAsia="仿宋_GB2312"/>
                <w:sz w:val="28"/>
              </w:rPr>
            </w:pPr>
            <w:r>
              <w:rPr>
                <w:rFonts w:hint="eastAsia" w:ascii="仿宋_GB2312" w:eastAsia="仿宋_GB2312"/>
                <w:sz w:val="28"/>
              </w:rPr>
              <w:t>100（含龙头课题5）</w:t>
            </w:r>
          </w:p>
        </w:tc>
      </w:tr>
      <w:tr w14:paraId="46A2F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42C72BC3">
            <w:pPr>
              <w:spacing w:line="400" w:lineRule="exact"/>
              <w:jc w:val="center"/>
              <w:rPr>
                <w:rFonts w:ascii="仿宋_GB2312" w:eastAsia="仿宋_GB2312"/>
                <w:sz w:val="28"/>
              </w:rPr>
            </w:pPr>
            <w:r>
              <w:rPr>
                <w:rFonts w:hint="eastAsia" w:ascii="仿宋_GB2312" w:eastAsia="仿宋_GB2312"/>
                <w:sz w:val="28"/>
              </w:rPr>
              <w:t>抚州</w:t>
            </w:r>
          </w:p>
        </w:tc>
        <w:tc>
          <w:tcPr>
            <w:tcW w:w="5982" w:type="dxa"/>
            <w:vAlign w:val="center"/>
          </w:tcPr>
          <w:p w14:paraId="5CE5C0B9">
            <w:pPr>
              <w:spacing w:line="400" w:lineRule="exact"/>
              <w:jc w:val="center"/>
              <w:rPr>
                <w:rFonts w:ascii="仿宋_GB2312" w:eastAsia="仿宋_GB2312"/>
                <w:sz w:val="28"/>
              </w:rPr>
            </w:pPr>
            <w:r>
              <w:rPr>
                <w:rFonts w:hint="eastAsia" w:ascii="仿宋_GB2312" w:eastAsia="仿宋_GB2312"/>
                <w:sz w:val="28"/>
              </w:rPr>
              <w:t>100（含龙头课题5）</w:t>
            </w:r>
          </w:p>
        </w:tc>
      </w:tr>
      <w:tr w14:paraId="1495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5CF5E13B">
            <w:pPr>
              <w:spacing w:line="400" w:lineRule="exact"/>
              <w:jc w:val="center"/>
              <w:rPr>
                <w:rFonts w:ascii="仿宋_GB2312" w:eastAsia="仿宋_GB2312"/>
                <w:sz w:val="28"/>
              </w:rPr>
            </w:pPr>
            <w:r>
              <w:rPr>
                <w:rFonts w:hint="eastAsia" w:ascii="仿宋_GB2312" w:eastAsia="仿宋_GB2312"/>
                <w:sz w:val="28"/>
              </w:rPr>
              <w:t>宜春</w:t>
            </w:r>
          </w:p>
        </w:tc>
        <w:tc>
          <w:tcPr>
            <w:tcW w:w="5982" w:type="dxa"/>
            <w:vAlign w:val="center"/>
          </w:tcPr>
          <w:p w14:paraId="5C40392C">
            <w:pPr>
              <w:spacing w:line="400" w:lineRule="exact"/>
              <w:jc w:val="center"/>
              <w:rPr>
                <w:rFonts w:ascii="仿宋_GB2312" w:eastAsia="仿宋_GB2312"/>
                <w:sz w:val="28"/>
              </w:rPr>
            </w:pPr>
            <w:r>
              <w:rPr>
                <w:rFonts w:hint="eastAsia" w:ascii="仿宋_GB2312" w:eastAsia="仿宋_GB2312"/>
                <w:sz w:val="28"/>
              </w:rPr>
              <w:t>100（含龙头课题5）</w:t>
            </w:r>
          </w:p>
        </w:tc>
      </w:tr>
      <w:tr w14:paraId="267AD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3293C665">
            <w:pPr>
              <w:spacing w:line="400" w:lineRule="exact"/>
              <w:jc w:val="center"/>
              <w:rPr>
                <w:rFonts w:ascii="仿宋_GB2312" w:eastAsia="仿宋_GB2312"/>
                <w:sz w:val="28"/>
              </w:rPr>
            </w:pPr>
            <w:r>
              <w:rPr>
                <w:rFonts w:hint="eastAsia" w:ascii="仿宋_GB2312" w:eastAsia="仿宋_GB2312"/>
                <w:sz w:val="28"/>
              </w:rPr>
              <w:t>吉安</w:t>
            </w:r>
          </w:p>
        </w:tc>
        <w:tc>
          <w:tcPr>
            <w:tcW w:w="5982" w:type="dxa"/>
            <w:vAlign w:val="center"/>
          </w:tcPr>
          <w:p w14:paraId="1D853A48">
            <w:pPr>
              <w:spacing w:line="400" w:lineRule="exact"/>
              <w:jc w:val="center"/>
              <w:rPr>
                <w:rFonts w:ascii="仿宋_GB2312" w:eastAsia="仿宋_GB2312"/>
                <w:sz w:val="28"/>
              </w:rPr>
            </w:pPr>
            <w:r>
              <w:rPr>
                <w:rFonts w:hint="eastAsia" w:ascii="仿宋_GB2312" w:eastAsia="仿宋_GB2312"/>
                <w:sz w:val="28"/>
              </w:rPr>
              <w:t>100（含龙头课题5）</w:t>
            </w:r>
          </w:p>
        </w:tc>
      </w:tr>
      <w:tr w14:paraId="327E6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43D42FAD">
            <w:pPr>
              <w:spacing w:line="400" w:lineRule="exact"/>
              <w:jc w:val="center"/>
              <w:rPr>
                <w:rFonts w:ascii="仿宋_GB2312" w:eastAsia="仿宋_GB2312"/>
                <w:sz w:val="28"/>
              </w:rPr>
            </w:pPr>
            <w:r>
              <w:rPr>
                <w:rFonts w:hint="eastAsia" w:ascii="仿宋_GB2312" w:eastAsia="仿宋_GB2312"/>
                <w:sz w:val="28"/>
              </w:rPr>
              <w:t>景德镇</w:t>
            </w:r>
          </w:p>
        </w:tc>
        <w:tc>
          <w:tcPr>
            <w:tcW w:w="5982" w:type="dxa"/>
            <w:vAlign w:val="center"/>
          </w:tcPr>
          <w:p w14:paraId="7DCB1F29">
            <w:pPr>
              <w:spacing w:line="400" w:lineRule="exact"/>
              <w:jc w:val="center"/>
              <w:rPr>
                <w:rFonts w:ascii="仿宋_GB2312" w:eastAsia="仿宋_GB2312"/>
                <w:sz w:val="28"/>
              </w:rPr>
            </w:pPr>
            <w:r>
              <w:rPr>
                <w:rFonts w:hint="eastAsia" w:ascii="仿宋_GB2312" w:eastAsia="仿宋_GB2312"/>
                <w:sz w:val="28"/>
              </w:rPr>
              <w:t>35（含龙头课题2）</w:t>
            </w:r>
          </w:p>
        </w:tc>
      </w:tr>
      <w:tr w14:paraId="448F6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1BC8FB24">
            <w:pPr>
              <w:spacing w:line="400" w:lineRule="exact"/>
              <w:jc w:val="center"/>
              <w:rPr>
                <w:rFonts w:ascii="仿宋_GB2312" w:eastAsia="仿宋_GB2312"/>
                <w:sz w:val="28"/>
              </w:rPr>
            </w:pPr>
            <w:r>
              <w:rPr>
                <w:rFonts w:hint="eastAsia" w:ascii="仿宋_GB2312" w:eastAsia="仿宋_GB2312"/>
                <w:sz w:val="28"/>
              </w:rPr>
              <w:t>萍乡</w:t>
            </w:r>
          </w:p>
        </w:tc>
        <w:tc>
          <w:tcPr>
            <w:tcW w:w="5982" w:type="dxa"/>
            <w:vAlign w:val="center"/>
          </w:tcPr>
          <w:p w14:paraId="14441633">
            <w:pPr>
              <w:spacing w:line="400" w:lineRule="exact"/>
              <w:jc w:val="center"/>
              <w:rPr>
                <w:rFonts w:ascii="仿宋_GB2312" w:eastAsia="仿宋_GB2312"/>
                <w:sz w:val="28"/>
              </w:rPr>
            </w:pPr>
            <w:r>
              <w:rPr>
                <w:rFonts w:hint="eastAsia" w:ascii="仿宋_GB2312" w:eastAsia="仿宋_GB2312"/>
                <w:sz w:val="28"/>
              </w:rPr>
              <w:t>35（含龙头课题2）</w:t>
            </w:r>
          </w:p>
        </w:tc>
      </w:tr>
      <w:tr w14:paraId="7C0F1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59EC9B1B">
            <w:pPr>
              <w:spacing w:line="400" w:lineRule="exact"/>
              <w:jc w:val="center"/>
              <w:rPr>
                <w:rFonts w:ascii="仿宋_GB2312" w:eastAsia="仿宋_GB2312"/>
                <w:sz w:val="28"/>
              </w:rPr>
            </w:pPr>
            <w:r>
              <w:rPr>
                <w:rFonts w:hint="eastAsia" w:ascii="仿宋_GB2312" w:eastAsia="仿宋_GB2312"/>
                <w:sz w:val="28"/>
              </w:rPr>
              <w:t>鹰潭</w:t>
            </w:r>
          </w:p>
        </w:tc>
        <w:tc>
          <w:tcPr>
            <w:tcW w:w="5982" w:type="dxa"/>
            <w:vAlign w:val="center"/>
          </w:tcPr>
          <w:p w14:paraId="69FF3BD0">
            <w:pPr>
              <w:spacing w:line="400" w:lineRule="exact"/>
              <w:jc w:val="center"/>
              <w:rPr>
                <w:rFonts w:ascii="仿宋_GB2312" w:eastAsia="仿宋_GB2312"/>
                <w:sz w:val="28"/>
              </w:rPr>
            </w:pPr>
            <w:r>
              <w:rPr>
                <w:rFonts w:hint="eastAsia" w:ascii="仿宋_GB2312" w:eastAsia="仿宋_GB2312"/>
                <w:sz w:val="28"/>
              </w:rPr>
              <w:t>35（含龙头课题2）</w:t>
            </w:r>
          </w:p>
        </w:tc>
      </w:tr>
      <w:tr w14:paraId="65F5A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61569550">
            <w:pPr>
              <w:spacing w:line="400" w:lineRule="exact"/>
              <w:jc w:val="center"/>
              <w:rPr>
                <w:rFonts w:ascii="仿宋_GB2312" w:eastAsia="仿宋_GB2312"/>
                <w:sz w:val="28"/>
              </w:rPr>
            </w:pPr>
            <w:r>
              <w:rPr>
                <w:rFonts w:hint="eastAsia" w:ascii="仿宋_GB2312" w:eastAsia="仿宋_GB2312"/>
                <w:sz w:val="28"/>
              </w:rPr>
              <w:t>新余</w:t>
            </w:r>
          </w:p>
        </w:tc>
        <w:tc>
          <w:tcPr>
            <w:tcW w:w="5982" w:type="dxa"/>
            <w:vAlign w:val="center"/>
          </w:tcPr>
          <w:p w14:paraId="28F24D32">
            <w:pPr>
              <w:spacing w:line="400" w:lineRule="exact"/>
              <w:jc w:val="center"/>
              <w:rPr>
                <w:rFonts w:ascii="仿宋_GB2312" w:eastAsia="仿宋_GB2312"/>
                <w:sz w:val="28"/>
              </w:rPr>
            </w:pPr>
            <w:r>
              <w:rPr>
                <w:rFonts w:hint="eastAsia" w:ascii="仿宋_GB2312" w:eastAsia="仿宋_GB2312"/>
                <w:sz w:val="28"/>
              </w:rPr>
              <w:t>35（含龙头课题2）</w:t>
            </w:r>
          </w:p>
        </w:tc>
      </w:tr>
      <w:tr w14:paraId="2FFC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1232567F">
            <w:pPr>
              <w:spacing w:line="400" w:lineRule="exact"/>
              <w:jc w:val="center"/>
              <w:rPr>
                <w:rFonts w:ascii="仿宋_GB2312" w:eastAsia="仿宋_GB2312"/>
                <w:sz w:val="28"/>
              </w:rPr>
            </w:pPr>
            <w:r>
              <w:rPr>
                <w:rFonts w:hint="eastAsia" w:ascii="仿宋_GB2312" w:eastAsia="仿宋_GB2312"/>
                <w:sz w:val="28"/>
              </w:rPr>
              <w:t>省直幼教服务中心</w:t>
            </w:r>
          </w:p>
        </w:tc>
        <w:tc>
          <w:tcPr>
            <w:tcW w:w="5982" w:type="dxa"/>
            <w:vAlign w:val="center"/>
          </w:tcPr>
          <w:p w14:paraId="476430E2">
            <w:pPr>
              <w:spacing w:line="400" w:lineRule="exact"/>
              <w:jc w:val="center"/>
              <w:rPr>
                <w:rFonts w:ascii="仿宋_GB2312" w:eastAsia="仿宋_GB2312"/>
                <w:sz w:val="28"/>
              </w:rPr>
            </w:pPr>
            <w:r>
              <w:rPr>
                <w:rFonts w:hint="eastAsia" w:ascii="仿宋_GB2312" w:eastAsia="仿宋_GB2312"/>
                <w:sz w:val="28"/>
              </w:rPr>
              <w:t>3</w:t>
            </w:r>
          </w:p>
        </w:tc>
      </w:tr>
      <w:tr w14:paraId="32C87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jc w:val="center"/>
        </w:trPr>
        <w:tc>
          <w:tcPr>
            <w:tcW w:w="3134" w:type="dxa"/>
            <w:vAlign w:val="center"/>
          </w:tcPr>
          <w:p w14:paraId="73C6D2AA">
            <w:pPr>
              <w:spacing w:line="400" w:lineRule="exact"/>
              <w:jc w:val="center"/>
              <w:rPr>
                <w:rFonts w:ascii="仿宋_GB2312" w:eastAsia="仿宋_GB2312"/>
                <w:sz w:val="28"/>
              </w:rPr>
            </w:pPr>
            <w:r>
              <w:rPr>
                <w:rFonts w:hint="eastAsia" w:ascii="仿宋_GB2312" w:eastAsia="仿宋_GB2312"/>
                <w:sz w:val="28"/>
              </w:rPr>
              <w:t>教育硕士培养、音体美</w:t>
            </w:r>
          </w:p>
          <w:p w14:paraId="2C1D25B8">
            <w:pPr>
              <w:spacing w:line="400" w:lineRule="exact"/>
              <w:jc w:val="center"/>
              <w:rPr>
                <w:rFonts w:ascii="仿宋_GB2312" w:eastAsia="仿宋_GB2312"/>
                <w:sz w:val="28"/>
              </w:rPr>
            </w:pPr>
            <w:r>
              <w:rPr>
                <w:rFonts w:hint="eastAsia" w:ascii="仿宋_GB2312" w:eastAsia="仿宋_GB2312"/>
                <w:sz w:val="28"/>
              </w:rPr>
              <w:t>支教的本科师范院校</w:t>
            </w:r>
          </w:p>
        </w:tc>
        <w:tc>
          <w:tcPr>
            <w:tcW w:w="5982" w:type="dxa"/>
            <w:vAlign w:val="center"/>
          </w:tcPr>
          <w:p w14:paraId="117FBBCF">
            <w:pPr>
              <w:spacing w:line="400" w:lineRule="exact"/>
              <w:jc w:val="center"/>
              <w:rPr>
                <w:rFonts w:ascii="仿宋_GB2312" w:eastAsia="仿宋_GB2312"/>
                <w:sz w:val="28"/>
              </w:rPr>
            </w:pPr>
            <w:r>
              <w:rPr>
                <w:rFonts w:hint="eastAsia" w:ascii="仿宋_GB2312" w:eastAsia="仿宋_GB2312"/>
                <w:sz w:val="28"/>
              </w:rPr>
              <w:t>10（每所学校）</w:t>
            </w:r>
          </w:p>
        </w:tc>
      </w:tr>
      <w:tr w14:paraId="75643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134" w:type="dxa"/>
            <w:vAlign w:val="center"/>
          </w:tcPr>
          <w:p w14:paraId="7BE99E8C">
            <w:pPr>
              <w:spacing w:line="400" w:lineRule="exact"/>
              <w:jc w:val="center"/>
              <w:rPr>
                <w:rFonts w:ascii="仿宋_GB2312" w:eastAsia="仿宋_GB2312"/>
                <w:sz w:val="28"/>
              </w:rPr>
            </w:pPr>
            <w:r>
              <w:rPr>
                <w:rFonts w:hint="eastAsia" w:ascii="仿宋_GB2312" w:eastAsia="仿宋_GB2312"/>
                <w:sz w:val="28"/>
              </w:rPr>
              <w:t>音体美支教的专科</w:t>
            </w:r>
          </w:p>
          <w:p w14:paraId="41CD7D6C">
            <w:pPr>
              <w:spacing w:line="400" w:lineRule="exact"/>
              <w:jc w:val="center"/>
              <w:rPr>
                <w:rFonts w:ascii="仿宋_GB2312" w:eastAsia="仿宋_GB2312"/>
                <w:sz w:val="28"/>
              </w:rPr>
            </w:pPr>
            <w:r>
              <w:rPr>
                <w:rFonts w:hint="eastAsia" w:ascii="仿宋_GB2312" w:eastAsia="仿宋_GB2312"/>
                <w:sz w:val="28"/>
              </w:rPr>
              <w:t>师范院校</w:t>
            </w:r>
          </w:p>
        </w:tc>
        <w:tc>
          <w:tcPr>
            <w:tcW w:w="5982" w:type="dxa"/>
            <w:vAlign w:val="center"/>
          </w:tcPr>
          <w:p w14:paraId="26310AB4">
            <w:pPr>
              <w:spacing w:line="400" w:lineRule="exact"/>
              <w:jc w:val="center"/>
              <w:rPr>
                <w:rFonts w:ascii="仿宋_GB2312" w:eastAsia="仿宋_GB2312"/>
                <w:sz w:val="28"/>
              </w:rPr>
            </w:pPr>
            <w:r>
              <w:rPr>
                <w:rFonts w:hint="eastAsia" w:ascii="仿宋_GB2312" w:eastAsia="仿宋_GB2312"/>
                <w:sz w:val="28"/>
              </w:rPr>
              <w:t>5（每所学校）</w:t>
            </w:r>
          </w:p>
        </w:tc>
      </w:tr>
    </w:tbl>
    <w:p w14:paraId="6DA06ADC">
      <w:pPr>
        <w:overflowPunct w:val="0"/>
        <w:autoSpaceDE w:val="0"/>
        <w:autoSpaceDN w:val="0"/>
        <w:adjustRightInd w:val="0"/>
        <w:snapToGrid w:val="0"/>
        <w:jc w:val="left"/>
        <w:textAlignment w:val="baseline"/>
        <w:rPr>
          <w:rFonts w:ascii="Arial" w:hAnsi="Arial" w:cs="Arial"/>
          <w:snapToGrid w:val="0"/>
          <w:color w:val="000000" w:themeColor="text1"/>
          <w:kern w:val="0"/>
          <w:szCs w:val="21"/>
        </w:rPr>
      </w:pPr>
    </w:p>
    <w:p w14:paraId="374A598D">
      <w:pPr>
        <w:overflowPunct w:val="0"/>
        <w:autoSpaceDE w:val="0"/>
        <w:autoSpaceDN w:val="0"/>
        <w:adjustRightInd w:val="0"/>
        <w:snapToGrid w:val="0"/>
        <w:spacing w:line="585" w:lineRule="exact"/>
        <w:jc w:val="left"/>
        <w:textAlignment w:val="baseline"/>
        <w:rPr>
          <w:rFonts w:ascii="黑体" w:hAnsi="黑体" w:eastAsia="黑体" w:cs="黑体"/>
          <w:snapToGrid w:val="0"/>
          <w:kern w:val="0"/>
          <w:sz w:val="32"/>
          <w:szCs w:val="32"/>
        </w:rPr>
      </w:pPr>
      <w:r>
        <w:rPr>
          <w:rFonts w:ascii="黑体" w:hAnsi="黑体" w:eastAsia="黑体" w:cs="黑体"/>
          <w:snapToGrid w:val="0"/>
          <w:kern w:val="0"/>
          <w:sz w:val="32"/>
          <w:szCs w:val="32"/>
        </w:rPr>
        <w:br w:type="page"/>
      </w:r>
      <w:r>
        <w:rPr>
          <w:rFonts w:hint="eastAsia" w:ascii="黑体" w:hAnsi="黑体" w:eastAsia="黑体" w:cs="黑体"/>
          <w:snapToGrid w:val="0"/>
          <w:kern w:val="0"/>
          <w:sz w:val="32"/>
          <w:szCs w:val="32"/>
        </w:rPr>
        <w:t>附件5</w:t>
      </w:r>
    </w:p>
    <w:p w14:paraId="35457ABC">
      <w:pPr>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36"/>
        </w:rPr>
      </w:pPr>
    </w:p>
    <w:p w14:paraId="71042FA3">
      <w:pPr>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36"/>
        </w:rPr>
      </w:pPr>
      <w:r>
        <w:rPr>
          <w:rFonts w:hint="eastAsia" w:ascii="方正小标宋简体" w:hAnsi="微软雅黑" w:eastAsia="方正小标宋简体" w:cs="微软雅黑"/>
          <w:snapToGrid w:val="0"/>
          <w:kern w:val="0"/>
          <w:sz w:val="44"/>
          <w:szCs w:val="36"/>
        </w:rPr>
        <w:t>2026年江西省高校与县域基础教育协同提质</w:t>
      </w:r>
    </w:p>
    <w:p w14:paraId="265466EE">
      <w:pPr>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36"/>
        </w:rPr>
      </w:pPr>
      <w:r>
        <w:rPr>
          <w:rFonts w:hint="eastAsia" w:ascii="方正小标宋简体" w:hAnsi="微软雅黑" w:eastAsia="方正小标宋简体" w:cs="微软雅黑"/>
          <w:snapToGrid w:val="0"/>
          <w:kern w:val="0"/>
          <w:sz w:val="44"/>
          <w:szCs w:val="36"/>
        </w:rPr>
        <w:t>行动试点县（市、区）专项课题申报</w:t>
      </w:r>
    </w:p>
    <w:p w14:paraId="652653D5">
      <w:pPr>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36"/>
        </w:rPr>
      </w:pPr>
      <w:r>
        <w:rPr>
          <w:rFonts w:hint="eastAsia" w:ascii="方正小标宋简体" w:hAnsi="微软雅黑" w:eastAsia="方正小标宋简体" w:cs="微软雅黑"/>
          <w:snapToGrid w:val="0"/>
          <w:kern w:val="0"/>
          <w:sz w:val="44"/>
          <w:szCs w:val="36"/>
        </w:rPr>
        <w:t>名额分配指标</w:t>
      </w:r>
    </w:p>
    <w:p w14:paraId="04B3EEB9">
      <w:pPr>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36"/>
        </w:rPr>
      </w:pPr>
    </w:p>
    <w:tbl>
      <w:tblPr>
        <w:tblStyle w:val="8"/>
        <w:tblW w:w="92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1768"/>
        <w:gridCol w:w="2939"/>
        <w:gridCol w:w="3618"/>
      </w:tblGrid>
      <w:tr w14:paraId="387C8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Align w:val="center"/>
          </w:tcPr>
          <w:p w14:paraId="59C67BF4">
            <w:pPr>
              <w:widowControl/>
              <w:overflowPunct w:val="0"/>
              <w:autoSpaceDE w:val="0"/>
              <w:autoSpaceDN w:val="0"/>
              <w:adjustRightInd w:val="0"/>
              <w:snapToGrid w:val="0"/>
              <w:spacing w:line="32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序号</w:t>
            </w:r>
          </w:p>
        </w:tc>
        <w:tc>
          <w:tcPr>
            <w:tcW w:w="1768" w:type="dxa"/>
            <w:vAlign w:val="center"/>
          </w:tcPr>
          <w:p w14:paraId="5986496A">
            <w:pPr>
              <w:widowControl/>
              <w:overflowPunct w:val="0"/>
              <w:autoSpaceDE w:val="0"/>
              <w:autoSpaceDN w:val="0"/>
              <w:adjustRightInd w:val="0"/>
              <w:snapToGrid w:val="0"/>
              <w:spacing w:line="32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设区市</w:t>
            </w:r>
          </w:p>
        </w:tc>
        <w:tc>
          <w:tcPr>
            <w:tcW w:w="2939" w:type="dxa"/>
            <w:vAlign w:val="center"/>
          </w:tcPr>
          <w:p w14:paraId="78EE9177">
            <w:pPr>
              <w:widowControl/>
              <w:overflowPunct w:val="0"/>
              <w:autoSpaceDE w:val="0"/>
              <w:autoSpaceDN w:val="0"/>
              <w:adjustRightInd w:val="0"/>
              <w:snapToGrid w:val="0"/>
              <w:spacing w:line="32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试点县（市、区）</w:t>
            </w:r>
          </w:p>
        </w:tc>
        <w:tc>
          <w:tcPr>
            <w:tcW w:w="3618" w:type="dxa"/>
            <w:vAlign w:val="center"/>
          </w:tcPr>
          <w:p w14:paraId="7B3A2058">
            <w:pPr>
              <w:widowControl/>
              <w:overflowPunct w:val="0"/>
              <w:autoSpaceDE w:val="0"/>
              <w:autoSpaceDN w:val="0"/>
              <w:adjustRightInd w:val="0"/>
              <w:snapToGrid w:val="0"/>
              <w:spacing w:line="32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申报限额数（单位：项）</w:t>
            </w:r>
          </w:p>
        </w:tc>
      </w:tr>
      <w:tr w14:paraId="29EA2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0953C39A">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1</w:t>
            </w:r>
          </w:p>
        </w:tc>
        <w:tc>
          <w:tcPr>
            <w:tcW w:w="1768" w:type="dxa"/>
            <w:vMerge w:val="restart"/>
            <w:tcBorders>
              <w:bottom w:val="nil"/>
            </w:tcBorders>
            <w:vAlign w:val="center"/>
          </w:tcPr>
          <w:p w14:paraId="1E5B314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南昌市</w:t>
            </w:r>
          </w:p>
        </w:tc>
        <w:tc>
          <w:tcPr>
            <w:tcW w:w="2939" w:type="dxa"/>
            <w:vAlign w:val="center"/>
          </w:tcPr>
          <w:p w14:paraId="5759227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高新区</w:t>
            </w:r>
          </w:p>
        </w:tc>
        <w:tc>
          <w:tcPr>
            <w:tcW w:w="3618" w:type="dxa"/>
            <w:vMerge w:val="restart"/>
            <w:vAlign w:val="center"/>
          </w:tcPr>
          <w:p w14:paraId="74096705">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r>
              <w:rPr>
                <w:rFonts w:hint="eastAsia" w:ascii="仿宋_GB2312" w:hAnsi="仿宋" w:eastAsia="仿宋_GB2312" w:cs="仿宋"/>
                <w:snapToGrid w:val="0"/>
                <w:kern w:val="0"/>
                <w:sz w:val="28"/>
                <w:szCs w:val="28"/>
              </w:rPr>
              <w:t>每个县（市、区）均可</w:t>
            </w:r>
          </w:p>
          <w:p w14:paraId="4BBD8091">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r>
              <w:rPr>
                <w:rFonts w:hint="eastAsia" w:ascii="仿宋_GB2312" w:hAnsi="仿宋" w:eastAsia="仿宋_GB2312" w:cs="仿宋"/>
                <w:snapToGrid w:val="0"/>
                <w:kern w:val="0"/>
                <w:sz w:val="28"/>
                <w:szCs w:val="28"/>
              </w:rPr>
              <w:t>申报2项课题。</w:t>
            </w:r>
          </w:p>
        </w:tc>
      </w:tr>
      <w:tr w14:paraId="3FBF6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bottom w:val="nil"/>
            </w:tcBorders>
            <w:vAlign w:val="center"/>
          </w:tcPr>
          <w:p w14:paraId="255CE7BA">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bottom w:val="nil"/>
            </w:tcBorders>
            <w:vAlign w:val="center"/>
          </w:tcPr>
          <w:p w14:paraId="103F2D37">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2D0E1200">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安义县</w:t>
            </w:r>
          </w:p>
        </w:tc>
        <w:tc>
          <w:tcPr>
            <w:tcW w:w="3618" w:type="dxa"/>
            <w:vMerge w:val="continue"/>
            <w:vAlign w:val="center"/>
          </w:tcPr>
          <w:p w14:paraId="5BBCB23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r>
      <w:tr w14:paraId="3F24D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429056E9">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067384A3">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40863E17">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红谷滩区</w:t>
            </w:r>
          </w:p>
        </w:tc>
        <w:tc>
          <w:tcPr>
            <w:tcW w:w="3618" w:type="dxa"/>
            <w:vMerge w:val="continue"/>
            <w:vAlign w:val="center"/>
          </w:tcPr>
          <w:p w14:paraId="73C82B9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r>
      <w:tr w14:paraId="7B113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10C31800">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2</w:t>
            </w:r>
          </w:p>
        </w:tc>
        <w:tc>
          <w:tcPr>
            <w:tcW w:w="1768" w:type="dxa"/>
            <w:vMerge w:val="restart"/>
            <w:tcBorders>
              <w:bottom w:val="nil"/>
            </w:tcBorders>
            <w:vAlign w:val="center"/>
          </w:tcPr>
          <w:p w14:paraId="78CCB4D1">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抚州市</w:t>
            </w:r>
          </w:p>
        </w:tc>
        <w:tc>
          <w:tcPr>
            <w:tcW w:w="2939" w:type="dxa"/>
            <w:vAlign w:val="center"/>
          </w:tcPr>
          <w:p w14:paraId="2D2F634C">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南城县</w:t>
            </w:r>
          </w:p>
        </w:tc>
        <w:tc>
          <w:tcPr>
            <w:tcW w:w="3618" w:type="dxa"/>
            <w:vMerge w:val="continue"/>
            <w:vAlign w:val="center"/>
          </w:tcPr>
          <w:p w14:paraId="0CFC39EA">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3C5A0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5DC3DE54">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177A034C">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680D407E">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南丰县</w:t>
            </w:r>
          </w:p>
        </w:tc>
        <w:tc>
          <w:tcPr>
            <w:tcW w:w="3618" w:type="dxa"/>
            <w:vMerge w:val="continue"/>
            <w:vAlign w:val="center"/>
          </w:tcPr>
          <w:p w14:paraId="0629C568">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6AB39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7A1A2E83">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3</w:t>
            </w:r>
          </w:p>
        </w:tc>
        <w:tc>
          <w:tcPr>
            <w:tcW w:w="1768" w:type="dxa"/>
            <w:vMerge w:val="restart"/>
            <w:tcBorders>
              <w:bottom w:val="nil"/>
            </w:tcBorders>
            <w:vAlign w:val="center"/>
          </w:tcPr>
          <w:p w14:paraId="3BBF00F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吉安市</w:t>
            </w:r>
          </w:p>
        </w:tc>
        <w:tc>
          <w:tcPr>
            <w:tcW w:w="2939" w:type="dxa"/>
            <w:vAlign w:val="center"/>
          </w:tcPr>
          <w:p w14:paraId="5FD723BE">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吉安县</w:t>
            </w:r>
          </w:p>
        </w:tc>
        <w:tc>
          <w:tcPr>
            <w:tcW w:w="3618" w:type="dxa"/>
            <w:vMerge w:val="continue"/>
            <w:vAlign w:val="center"/>
          </w:tcPr>
          <w:p w14:paraId="478F606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1F887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77B7427C">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2E470BB5">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2384522D">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青原区</w:t>
            </w:r>
          </w:p>
        </w:tc>
        <w:tc>
          <w:tcPr>
            <w:tcW w:w="3618" w:type="dxa"/>
            <w:vMerge w:val="continue"/>
            <w:vAlign w:val="center"/>
          </w:tcPr>
          <w:p w14:paraId="24E72DDA">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0130B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Align w:val="center"/>
          </w:tcPr>
          <w:p w14:paraId="428C5E84">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4</w:t>
            </w:r>
          </w:p>
        </w:tc>
        <w:tc>
          <w:tcPr>
            <w:tcW w:w="1768" w:type="dxa"/>
            <w:vAlign w:val="center"/>
          </w:tcPr>
          <w:p w14:paraId="5CEAE9B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景德镇市</w:t>
            </w:r>
          </w:p>
        </w:tc>
        <w:tc>
          <w:tcPr>
            <w:tcW w:w="2939" w:type="dxa"/>
            <w:vAlign w:val="center"/>
          </w:tcPr>
          <w:p w14:paraId="23FB2509">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浮梁县</w:t>
            </w:r>
          </w:p>
        </w:tc>
        <w:tc>
          <w:tcPr>
            <w:tcW w:w="3618" w:type="dxa"/>
            <w:vMerge w:val="continue"/>
            <w:vAlign w:val="center"/>
          </w:tcPr>
          <w:p w14:paraId="4B8DB112">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2A1B6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0E2799B0">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5</w:t>
            </w:r>
          </w:p>
        </w:tc>
        <w:tc>
          <w:tcPr>
            <w:tcW w:w="1768" w:type="dxa"/>
            <w:vMerge w:val="restart"/>
            <w:tcBorders>
              <w:bottom w:val="nil"/>
            </w:tcBorders>
            <w:vAlign w:val="center"/>
          </w:tcPr>
          <w:p w14:paraId="5FC275B6">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九江市</w:t>
            </w:r>
          </w:p>
        </w:tc>
        <w:tc>
          <w:tcPr>
            <w:tcW w:w="2939" w:type="dxa"/>
            <w:vAlign w:val="center"/>
          </w:tcPr>
          <w:p w14:paraId="1B688232">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瑞昌市</w:t>
            </w:r>
          </w:p>
        </w:tc>
        <w:tc>
          <w:tcPr>
            <w:tcW w:w="3618" w:type="dxa"/>
            <w:vMerge w:val="continue"/>
            <w:vAlign w:val="center"/>
          </w:tcPr>
          <w:p w14:paraId="15E963F2">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40BD6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3B15EEB2">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0B871069">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368B6FFD">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湖口县</w:t>
            </w:r>
          </w:p>
        </w:tc>
        <w:tc>
          <w:tcPr>
            <w:tcW w:w="3618" w:type="dxa"/>
            <w:vMerge w:val="continue"/>
            <w:vAlign w:val="center"/>
          </w:tcPr>
          <w:p w14:paraId="7AA9616D">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11D73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5C6830D9">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6</w:t>
            </w:r>
          </w:p>
        </w:tc>
        <w:tc>
          <w:tcPr>
            <w:tcW w:w="1768" w:type="dxa"/>
            <w:vMerge w:val="restart"/>
            <w:tcBorders>
              <w:bottom w:val="nil"/>
            </w:tcBorders>
            <w:vAlign w:val="center"/>
          </w:tcPr>
          <w:p w14:paraId="25D8A357">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萍乡市</w:t>
            </w:r>
          </w:p>
        </w:tc>
        <w:tc>
          <w:tcPr>
            <w:tcW w:w="2939" w:type="dxa"/>
            <w:vAlign w:val="center"/>
          </w:tcPr>
          <w:p w14:paraId="7C11C1CA">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安源区</w:t>
            </w:r>
          </w:p>
        </w:tc>
        <w:tc>
          <w:tcPr>
            <w:tcW w:w="3618" w:type="dxa"/>
            <w:vMerge w:val="continue"/>
            <w:vAlign w:val="center"/>
          </w:tcPr>
          <w:p w14:paraId="4509B967">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4DB3F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61A34F2C">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0D5C17AA">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441D27E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湘东区</w:t>
            </w:r>
          </w:p>
        </w:tc>
        <w:tc>
          <w:tcPr>
            <w:tcW w:w="3618" w:type="dxa"/>
            <w:vMerge w:val="continue"/>
            <w:vAlign w:val="center"/>
          </w:tcPr>
          <w:p w14:paraId="18E65316">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06669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751FC46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7</w:t>
            </w:r>
          </w:p>
        </w:tc>
        <w:tc>
          <w:tcPr>
            <w:tcW w:w="1768" w:type="dxa"/>
            <w:vMerge w:val="restart"/>
            <w:tcBorders>
              <w:bottom w:val="nil"/>
            </w:tcBorders>
            <w:vAlign w:val="center"/>
          </w:tcPr>
          <w:p w14:paraId="4579DF64">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上饶市</w:t>
            </w:r>
          </w:p>
        </w:tc>
        <w:tc>
          <w:tcPr>
            <w:tcW w:w="2939" w:type="dxa"/>
            <w:vAlign w:val="center"/>
          </w:tcPr>
          <w:p w14:paraId="43693F27">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横峰县</w:t>
            </w:r>
          </w:p>
        </w:tc>
        <w:tc>
          <w:tcPr>
            <w:tcW w:w="3618" w:type="dxa"/>
            <w:vMerge w:val="continue"/>
            <w:vAlign w:val="center"/>
          </w:tcPr>
          <w:p w14:paraId="1CC58871">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79166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7E98660A">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2ED2AE75">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7394236A">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万年县</w:t>
            </w:r>
          </w:p>
        </w:tc>
        <w:tc>
          <w:tcPr>
            <w:tcW w:w="3618" w:type="dxa"/>
            <w:vMerge w:val="continue"/>
            <w:vAlign w:val="center"/>
          </w:tcPr>
          <w:p w14:paraId="487E03A0">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678B3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Align w:val="center"/>
          </w:tcPr>
          <w:p w14:paraId="6A26AA2C">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8</w:t>
            </w:r>
          </w:p>
        </w:tc>
        <w:tc>
          <w:tcPr>
            <w:tcW w:w="1768" w:type="dxa"/>
            <w:vAlign w:val="center"/>
          </w:tcPr>
          <w:p w14:paraId="4CDE404A">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新余市</w:t>
            </w:r>
          </w:p>
        </w:tc>
        <w:tc>
          <w:tcPr>
            <w:tcW w:w="2939" w:type="dxa"/>
            <w:vAlign w:val="center"/>
          </w:tcPr>
          <w:p w14:paraId="1CA627E4">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渝水区</w:t>
            </w:r>
          </w:p>
        </w:tc>
        <w:tc>
          <w:tcPr>
            <w:tcW w:w="3618" w:type="dxa"/>
            <w:vMerge w:val="continue"/>
            <w:vAlign w:val="center"/>
          </w:tcPr>
          <w:p w14:paraId="2DCBD5A2">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770E2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40D6E080">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9</w:t>
            </w:r>
          </w:p>
        </w:tc>
        <w:tc>
          <w:tcPr>
            <w:tcW w:w="1768" w:type="dxa"/>
            <w:vMerge w:val="restart"/>
            <w:tcBorders>
              <w:bottom w:val="nil"/>
            </w:tcBorders>
            <w:vAlign w:val="center"/>
          </w:tcPr>
          <w:p w14:paraId="7E187C0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宜春市</w:t>
            </w:r>
          </w:p>
        </w:tc>
        <w:tc>
          <w:tcPr>
            <w:tcW w:w="2939" w:type="dxa"/>
            <w:vAlign w:val="center"/>
          </w:tcPr>
          <w:p w14:paraId="39D5879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上高县</w:t>
            </w:r>
          </w:p>
        </w:tc>
        <w:tc>
          <w:tcPr>
            <w:tcW w:w="3618" w:type="dxa"/>
            <w:vMerge w:val="continue"/>
            <w:vAlign w:val="center"/>
          </w:tcPr>
          <w:p w14:paraId="7A1C08A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10DEA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3D09243C">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54FAD174">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27962AF5">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靖安县</w:t>
            </w:r>
          </w:p>
        </w:tc>
        <w:tc>
          <w:tcPr>
            <w:tcW w:w="3618" w:type="dxa"/>
            <w:vMerge w:val="continue"/>
            <w:vAlign w:val="center"/>
          </w:tcPr>
          <w:p w14:paraId="095FED94">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4C044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tcBorders>
              <w:bottom w:val="nil"/>
            </w:tcBorders>
            <w:vAlign w:val="center"/>
          </w:tcPr>
          <w:p w14:paraId="4F9E846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10</w:t>
            </w:r>
          </w:p>
        </w:tc>
        <w:tc>
          <w:tcPr>
            <w:tcW w:w="1768" w:type="dxa"/>
            <w:vMerge w:val="restart"/>
            <w:tcBorders>
              <w:bottom w:val="nil"/>
            </w:tcBorders>
            <w:vAlign w:val="center"/>
          </w:tcPr>
          <w:p w14:paraId="35482085">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鹰潭市</w:t>
            </w:r>
          </w:p>
        </w:tc>
        <w:tc>
          <w:tcPr>
            <w:tcW w:w="2939" w:type="dxa"/>
            <w:vAlign w:val="center"/>
          </w:tcPr>
          <w:p w14:paraId="50A3A6D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贵溪市</w:t>
            </w:r>
          </w:p>
        </w:tc>
        <w:tc>
          <w:tcPr>
            <w:tcW w:w="3618" w:type="dxa"/>
            <w:vMerge w:val="continue"/>
            <w:vAlign w:val="center"/>
          </w:tcPr>
          <w:p w14:paraId="4533CEAD">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079FE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tcBorders>
              <w:top w:val="nil"/>
            </w:tcBorders>
            <w:vAlign w:val="center"/>
          </w:tcPr>
          <w:p w14:paraId="172D145D">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tcBorders>
              <w:top w:val="nil"/>
            </w:tcBorders>
            <w:vAlign w:val="center"/>
          </w:tcPr>
          <w:p w14:paraId="29A5EDAD">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vAlign w:val="center"/>
          </w:tcPr>
          <w:p w14:paraId="3AFB1626">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月湖区</w:t>
            </w:r>
          </w:p>
        </w:tc>
        <w:tc>
          <w:tcPr>
            <w:tcW w:w="3618" w:type="dxa"/>
            <w:vMerge w:val="continue"/>
            <w:vAlign w:val="center"/>
          </w:tcPr>
          <w:p w14:paraId="434DE35C">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7B0EF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restart"/>
            <w:vAlign w:val="center"/>
          </w:tcPr>
          <w:p w14:paraId="23E1FCD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11</w:t>
            </w:r>
          </w:p>
        </w:tc>
        <w:tc>
          <w:tcPr>
            <w:tcW w:w="1768" w:type="dxa"/>
            <w:vMerge w:val="restart"/>
            <w:vAlign w:val="center"/>
          </w:tcPr>
          <w:p w14:paraId="1C3B80BB">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赣州市</w:t>
            </w:r>
          </w:p>
        </w:tc>
        <w:tc>
          <w:tcPr>
            <w:tcW w:w="2939" w:type="dxa"/>
            <w:vAlign w:val="center"/>
          </w:tcPr>
          <w:p w14:paraId="3E3907CA">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赣县区</w:t>
            </w:r>
          </w:p>
        </w:tc>
        <w:tc>
          <w:tcPr>
            <w:tcW w:w="3618" w:type="dxa"/>
            <w:vMerge w:val="continue"/>
            <w:vAlign w:val="center"/>
          </w:tcPr>
          <w:p w14:paraId="120A3871">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p>
        </w:tc>
      </w:tr>
      <w:tr w14:paraId="1105F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vAlign w:val="center"/>
          </w:tcPr>
          <w:p w14:paraId="25D57E64">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1768" w:type="dxa"/>
            <w:vMerge w:val="continue"/>
            <w:vAlign w:val="center"/>
          </w:tcPr>
          <w:p w14:paraId="60E99925">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c>
          <w:tcPr>
            <w:tcW w:w="2939" w:type="dxa"/>
            <w:tcBorders>
              <w:bottom w:val="single" w:color="auto" w:sz="4" w:space="0"/>
            </w:tcBorders>
            <w:vAlign w:val="center"/>
          </w:tcPr>
          <w:p w14:paraId="6009F593">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lang w:eastAsia="en-US"/>
              </w:rPr>
            </w:pPr>
            <w:r>
              <w:rPr>
                <w:rFonts w:hint="eastAsia" w:ascii="仿宋_GB2312" w:hAnsi="仿宋" w:eastAsia="仿宋_GB2312" w:cs="仿宋"/>
                <w:snapToGrid w:val="0"/>
                <w:kern w:val="0"/>
                <w:sz w:val="28"/>
                <w:szCs w:val="28"/>
                <w:lang w:eastAsia="en-US"/>
              </w:rPr>
              <w:t>龙南市</w:t>
            </w:r>
          </w:p>
        </w:tc>
        <w:tc>
          <w:tcPr>
            <w:tcW w:w="3618" w:type="dxa"/>
            <w:vMerge w:val="continue"/>
            <w:vAlign w:val="center"/>
          </w:tcPr>
          <w:p w14:paraId="197D1A94">
            <w:pPr>
              <w:widowControl/>
              <w:overflowPunct w:val="0"/>
              <w:autoSpaceDE w:val="0"/>
              <w:autoSpaceDN w:val="0"/>
              <w:adjustRightInd w:val="0"/>
              <w:snapToGrid w:val="0"/>
              <w:spacing w:line="320" w:lineRule="exact"/>
              <w:jc w:val="center"/>
              <w:textAlignment w:val="baseline"/>
              <w:rPr>
                <w:rFonts w:ascii="仿宋_GB2312" w:hAnsi="Arial" w:eastAsia="仿宋_GB2312" w:cs="Arial"/>
                <w:snapToGrid w:val="0"/>
                <w:kern w:val="0"/>
                <w:sz w:val="28"/>
                <w:szCs w:val="28"/>
              </w:rPr>
            </w:pPr>
          </w:p>
        </w:tc>
      </w:tr>
      <w:tr w14:paraId="60E47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vAlign w:val="center"/>
          </w:tcPr>
          <w:p w14:paraId="7CCBBC66">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c>
          <w:tcPr>
            <w:tcW w:w="1768" w:type="dxa"/>
            <w:vMerge w:val="continue"/>
            <w:vAlign w:val="center"/>
          </w:tcPr>
          <w:p w14:paraId="21003CB4">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c>
          <w:tcPr>
            <w:tcW w:w="2939" w:type="dxa"/>
            <w:tcBorders>
              <w:top w:val="single" w:color="auto" w:sz="4" w:space="0"/>
              <w:left w:val="single" w:color="auto" w:sz="4" w:space="0"/>
              <w:bottom w:val="single" w:color="auto" w:sz="4" w:space="0"/>
              <w:right w:val="single" w:color="auto" w:sz="4" w:space="0"/>
            </w:tcBorders>
            <w:vAlign w:val="center"/>
          </w:tcPr>
          <w:p w14:paraId="0C3F2306">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r>
              <w:rPr>
                <w:rFonts w:hint="eastAsia" w:ascii="仿宋_GB2312" w:hAnsi="仿宋" w:eastAsia="仿宋_GB2312" w:cs="仿宋"/>
                <w:snapToGrid w:val="0"/>
                <w:kern w:val="0"/>
                <w:sz w:val="28"/>
                <w:szCs w:val="28"/>
              </w:rPr>
              <w:t>大余县</w:t>
            </w:r>
          </w:p>
        </w:tc>
        <w:tc>
          <w:tcPr>
            <w:tcW w:w="3618" w:type="dxa"/>
            <w:vMerge w:val="continue"/>
            <w:vAlign w:val="center"/>
          </w:tcPr>
          <w:p w14:paraId="5CEFDF5E">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r>
      <w:tr w14:paraId="6B553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899" w:type="dxa"/>
            <w:vMerge w:val="continue"/>
            <w:vAlign w:val="center"/>
          </w:tcPr>
          <w:p w14:paraId="19FF1FA8">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c>
          <w:tcPr>
            <w:tcW w:w="1768" w:type="dxa"/>
            <w:vMerge w:val="continue"/>
            <w:vAlign w:val="center"/>
          </w:tcPr>
          <w:p w14:paraId="5EE04CEF">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c>
          <w:tcPr>
            <w:tcW w:w="2939" w:type="dxa"/>
            <w:tcBorders>
              <w:top w:val="single" w:color="auto" w:sz="4" w:space="0"/>
              <w:left w:val="single" w:color="auto" w:sz="4" w:space="0"/>
              <w:bottom w:val="single" w:color="auto" w:sz="4" w:space="0"/>
              <w:right w:val="single" w:color="auto" w:sz="4" w:space="0"/>
            </w:tcBorders>
            <w:vAlign w:val="center"/>
          </w:tcPr>
          <w:p w14:paraId="2C54E8B2">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r>
              <w:rPr>
                <w:rFonts w:hint="eastAsia" w:ascii="仿宋_GB2312" w:hAnsi="仿宋" w:eastAsia="仿宋_GB2312" w:cs="仿宋"/>
                <w:snapToGrid w:val="0"/>
                <w:kern w:val="0"/>
                <w:sz w:val="28"/>
                <w:szCs w:val="28"/>
              </w:rPr>
              <w:t>上犹县</w:t>
            </w:r>
          </w:p>
        </w:tc>
        <w:tc>
          <w:tcPr>
            <w:tcW w:w="3618" w:type="dxa"/>
            <w:vMerge w:val="continue"/>
            <w:vAlign w:val="center"/>
          </w:tcPr>
          <w:p w14:paraId="04DCC19C">
            <w:pPr>
              <w:widowControl/>
              <w:overflowPunct w:val="0"/>
              <w:autoSpaceDE w:val="0"/>
              <w:autoSpaceDN w:val="0"/>
              <w:adjustRightInd w:val="0"/>
              <w:snapToGrid w:val="0"/>
              <w:spacing w:line="320" w:lineRule="exact"/>
              <w:jc w:val="center"/>
              <w:textAlignment w:val="baseline"/>
              <w:rPr>
                <w:rFonts w:ascii="仿宋_GB2312" w:hAnsi="仿宋" w:eastAsia="仿宋_GB2312" w:cs="仿宋"/>
                <w:snapToGrid w:val="0"/>
                <w:kern w:val="0"/>
                <w:sz w:val="28"/>
                <w:szCs w:val="28"/>
              </w:rPr>
            </w:pPr>
          </w:p>
        </w:tc>
      </w:tr>
    </w:tbl>
    <w:p w14:paraId="609C61EA">
      <w:pPr>
        <w:overflowPunct w:val="0"/>
        <w:autoSpaceDE w:val="0"/>
        <w:autoSpaceDN w:val="0"/>
        <w:adjustRightInd w:val="0"/>
        <w:snapToGrid w:val="0"/>
        <w:jc w:val="left"/>
        <w:textAlignment w:val="baseline"/>
        <w:rPr>
          <w:rFonts w:ascii="Arial" w:hAnsi="Arial" w:cs="Arial"/>
          <w:snapToGrid w:val="0"/>
          <w:kern w:val="0"/>
          <w:szCs w:val="21"/>
        </w:rPr>
        <w:sectPr>
          <w:headerReference r:id="rId3" w:type="default"/>
          <w:footerReference r:id="rId5" w:type="default"/>
          <w:headerReference r:id="rId4" w:type="even"/>
          <w:footerReference r:id="rId6" w:type="even"/>
          <w:pgSz w:w="11907" w:h="16839"/>
          <w:pgMar w:top="2155" w:right="1435" w:bottom="1588" w:left="1435" w:header="850" w:footer="1588" w:gutter="0"/>
          <w:cols w:space="720" w:num="1"/>
          <w:docGrid w:linePitch="286" w:charSpace="0"/>
        </w:sectPr>
      </w:pPr>
    </w:p>
    <w:p w14:paraId="2BA17B7B">
      <w:pPr>
        <w:overflowPunct w:val="0"/>
        <w:autoSpaceDE w:val="0"/>
        <w:autoSpaceDN w:val="0"/>
        <w:adjustRightInd w:val="0"/>
        <w:snapToGrid w:val="0"/>
        <w:spacing w:line="585" w:lineRule="exact"/>
        <w:jc w:val="left"/>
        <w:textAlignment w:val="baseline"/>
        <w:rPr>
          <w:rFonts w:ascii="黑体" w:hAnsi="黑体" w:eastAsia="黑体" w:cs="黑体"/>
          <w:snapToGrid w:val="0"/>
          <w:kern w:val="0"/>
          <w:sz w:val="32"/>
          <w:szCs w:val="32"/>
        </w:rPr>
      </w:pPr>
      <w:r>
        <w:rPr>
          <w:rFonts w:hint="eastAsia" w:ascii="黑体" w:hAnsi="黑体" w:eastAsia="黑体" w:cs="黑体"/>
          <w:snapToGrid w:val="0"/>
          <w:kern w:val="0"/>
          <w:sz w:val="32"/>
          <w:szCs w:val="32"/>
        </w:rPr>
        <w:t>附件6</w:t>
      </w:r>
    </w:p>
    <w:p w14:paraId="048F5960">
      <w:pPr>
        <w:overflowPunct w:val="0"/>
        <w:autoSpaceDE w:val="0"/>
        <w:autoSpaceDN w:val="0"/>
        <w:adjustRightInd w:val="0"/>
        <w:snapToGrid w:val="0"/>
        <w:spacing w:line="585" w:lineRule="exact"/>
        <w:jc w:val="center"/>
        <w:textAlignment w:val="baseline"/>
        <w:rPr>
          <w:rFonts w:ascii="方正小标宋简体" w:hAnsi="微软雅黑" w:eastAsia="方正小标宋简体" w:cs="微软雅黑"/>
          <w:snapToGrid w:val="0"/>
          <w:kern w:val="0"/>
          <w:sz w:val="44"/>
          <w:szCs w:val="36"/>
        </w:rPr>
      </w:pPr>
    </w:p>
    <w:p w14:paraId="5ED0AFBF">
      <w:pPr>
        <w:overflowPunct w:val="0"/>
        <w:spacing w:line="585" w:lineRule="exact"/>
        <w:contextualSpacing/>
        <w:jc w:val="center"/>
        <w:rPr>
          <w:rFonts w:ascii="方正小标宋简体" w:hAnsi="微软雅黑" w:eastAsia="方正小标宋简体" w:cs="微软雅黑"/>
          <w:snapToGrid w:val="0"/>
          <w:sz w:val="44"/>
          <w:szCs w:val="36"/>
        </w:rPr>
      </w:pPr>
      <w:r>
        <w:rPr>
          <w:rFonts w:hint="eastAsia" w:ascii="方正小标宋简体" w:hAnsi="微软雅黑" w:eastAsia="方正小标宋简体" w:cs="微软雅黑"/>
          <w:snapToGrid w:val="0"/>
          <w:sz w:val="44"/>
          <w:szCs w:val="36"/>
        </w:rPr>
        <w:t>2026年江西省普通高中学习资源包建设</w:t>
      </w:r>
    </w:p>
    <w:p w14:paraId="2DEB0C52">
      <w:pPr>
        <w:overflowPunct w:val="0"/>
        <w:spacing w:line="585" w:lineRule="exact"/>
        <w:contextualSpacing/>
        <w:jc w:val="center"/>
        <w:rPr>
          <w:rFonts w:ascii="方正小标宋简体" w:hAnsi="微软雅黑" w:eastAsia="方正小标宋简体" w:cs="微软雅黑"/>
          <w:snapToGrid w:val="0"/>
          <w:kern w:val="0"/>
          <w:sz w:val="44"/>
          <w:szCs w:val="36"/>
        </w:rPr>
      </w:pPr>
      <w:r>
        <w:rPr>
          <w:rFonts w:hint="eastAsia" w:ascii="方正小标宋简体" w:hAnsi="微软雅黑" w:eastAsia="方正小标宋简体" w:cs="微软雅黑"/>
          <w:snapToGrid w:val="0"/>
          <w:sz w:val="44"/>
          <w:szCs w:val="36"/>
        </w:rPr>
        <w:t>专项课题</w:t>
      </w:r>
      <w:r>
        <w:rPr>
          <w:rFonts w:hint="eastAsia" w:ascii="方正小标宋简体" w:hAnsi="微软雅黑" w:eastAsia="方正小标宋简体" w:cs="微软雅黑"/>
          <w:snapToGrid w:val="0"/>
          <w:kern w:val="0"/>
          <w:sz w:val="44"/>
          <w:szCs w:val="36"/>
        </w:rPr>
        <w:t>申报名额分配指标</w:t>
      </w:r>
    </w:p>
    <w:p w14:paraId="3C9F16FD">
      <w:pPr>
        <w:overflowPunct w:val="0"/>
        <w:spacing w:line="585" w:lineRule="exact"/>
        <w:contextualSpacing/>
        <w:jc w:val="center"/>
        <w:rPr>
          <w:rFonts w:ascii="方正小标宋简体" w:hAnsi="微软雅黑" w:eastAsia="方正小标宋简体" w:cs="微软雅黑"/>
          <w:snapToGrid w:val="0"/>
          <w:kern w:val="0"/>
          <w:sz w:val="44"/>
          <w:szCs w:val="36"/>
        </w:rPr>
      </w:pPr>
    </w:p>
    <w:tbl>
      <w:tblPr>
        <w:tblStyle w:val="8"/>
        <w:tblW w:w="9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7"/>
        <w:gridCol w:w="1254"/>
        <w:gridCol w:w="1439"/>
        <w:gridCol w:w="1701"/>
        <w:gridCol w:w="1789"/>
        <w:gridCol w:w="1883"/>
      </w:tblGrid>
      <w:tr w14:paraId="3E96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Align w:val="center"/>
          </w:tcPr>
          <w:p w14:paraId="5DBFB19D">
            <w:pPr>
              <w:widowControl/>
              <w:overflowPunct w:val="0"/>
              <w:autoSpaceDE w:val="0"/>
              <w:autoSpaceDN w:val="0"/>
              <w:adjustRightInd w:val="0"/>
              <w:snapToGrid w:val="0"/>
              <w:spacing w:line="36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序号</w:t>
            </w:r>
          </w:p>
        </w:tc>
        <w:tc>
          <w:tcPr>
            <w:tcW w:w="1254" w:type="dxa"/>
            <w:vAlign w:val="center"/>
          </w:tcPr>
          <w:p w14:paraId="6270248D">
            <w:pPr>
              <w:widowControl/>
              <w:overflowPunct w:val="0"/>
              <w:autoSpaceDE w:val="0"/>
              <w:autoSpaceDN w:val="0"/>
              <w:adjustRightInd w:val="0"/>
              <w:snapToGrid w:val="0"/>
              <w:spacing w:line="36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学科</w:t>
            </w:r>
          </w:p>
        </w:tc>
        <w:tc>
          <w:tcPr>
            <w:tcW w:w="1439" w:type="dxa"/>
            <w:vAlign w:val="center"/>
          </w:tcPr>
          <w:p w14:paraId="6EAA81DD">
            <w:pPr>
              <w:widowControl/>
              <w:overflowPunct w:val="0"/>
              <w:autoSpaceDE w:val="0"/>
              <w:autoSpaceDN w:val="0"/>
              <w:adjustRightInd w:val="0"/>
              <w:snapToGrid w:val="0"/>
              <w:spacing w:line="36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版本</w:t>
            </w:r>
          </w:p>
        </w:tc>
        <w:tc>
          <w:tcPr>
            <w:tcW w:w="1701" w:type="dxa"/>
            <w:vAlign w:val="center"/>
          </w:tcPr>
          <w:p w14:paraId="04A422A7">
            <w:pPr>
              <w:widowControl/>
              <w:spacing w:line="360" w:lineRule="exact"/>
              <w:jc w:val="center"/>
              <w:textAlignment w:val="center"/>
              <w:rPr>
                <w:rFonts w:ascii="黑体" w:hAnsi="黑体" w:eastAsia="黑体" w:cs="黑体"/>
                <w:snapToGrid w:val="0"/>
                <w:kern w:val="0"/>
                <w:sz w:val="28"/>
                <w:szCs w:val="28"/>
              </w:rPr>
            </w:pPr>
            <w:r>
              <w:rPr>
                <w:rFonts w:hint="eastAsia" w:ascii="黑体" w:hAnsi="黑体" w:eastAsia="黑体" w:cs="黑体"/>
                <w:color w:val="000000"/>
                <w:kern w:val="0"/>
                <w:sz w:val="28"/>
                <w:szCs w:val="28"/>
              </w:rPr>
              <w:t>地市</w:t>
            </w:r>
          </w:p>
        </w:tc>
        <w:tc>
          <w:tcPr>
            <w:tcW w:w="1789" w:type="dxa"/>
            <w:vAlign w:val="center"/>
          </w:tcPr>
          <w:p w14:paraId="25C30460">
            <w:pPr>
              <w:widowControl/>
              <w:overflowPunct w:val="0"/>
              <w:autoSpaceDE w:val="0"/>
              <w:autoSpaceDN w:val="0"/>
              <w:adjustRightInd w:val="0"/>
              <w:snapToGrid w:val="0"/>
              <w:spacing w:line="360" w:lineRule="exact"/>
              <w:jc w:val="center"/>
              <w:textAlignment w:val="baseline"/>
              <w:rPr>
                <w:rFonts w:ascii="黑体" w:hAnsi="黑体" w:eastAsia="黑体" w:cs="黑体"/>
                <w:snapToGrid w:val="0"/>
                <w:color w:val="000000" w:themeColor="text1"/>
                <w:kern w:val="0"/>
                <w:sz w:val="28"/>
                <w:szCs w:val="28"/>
              </w:rPr>
            </w:pPr>
            <w:r>
              <w:rPr>
                <w:rFonts w:hint="eastAsia" w:ascii="黑体" w:hAnsi="黑体" w:eastAsia="黑体" w:cs="黑体"/>
                <w:snapToGrid w:val="0"/>
                <w:color w:val="000000" w:themeColor="text1"/>
                <w:kern w:val="0"/>
                <w:sz w:val="28"/>
                <w:szCs w:val="28"/>
              </w:rPr>
              <w:t>申报限额数</w:t>
            </w:r>
          </w:p>
          <w:p w14:paraId="624E132B">
            <w:pPr>
              <w:widowControl/>
              <w:overflowPunct w:val="0"/>
              <w:autoSpaceDE w:val="0"/>
              <w:autoSpaceDN w:val="0"/>
              <w:adjustRightInd w:val="0"/>
              <w:snapToGrid w:val="0"/>
              <w:spacing w:line="360" w:lineRule="exact"/>
              <w:jc w:val="center"/>
              <w:textAlignment w:val="baseline"/>
              <w:rPr>
                <w:rFonts w:ascii="黑体" w:hAnsi="黑体" w:eastAsia="黑体" w:cs="黑体"/>
                <w:snapToGrid w:val="0"/>
                <w:color w:val="000000" w:themeColor="text1"/>
                <w:kern w:val="0"/>
                <w:sz w:val="28"/>
                <w:szCs w:val="28"/>
              </w:rPr>
            </w:pPr>
            <w:r>
              <w:rPr>
                <w:rFonts w:hint="eastAsia" w:ascii="黑体" w:hAnsi="黑体" w:eastAsia="黑体" w:cs="黑体"/>
                <w:snapToGrid w:val="0"/>
                <w:color w:val="000000" w:themeColor="text1"/>
                <w:kern w:val="0"/>
                <w:sz w:val="28"/>
                <w:szCs w:val="28"/>
              </w:rPr>
              <w:t>（单位：项）</w:t>
            </w:r>
          </w:p>
        </w:tc>
        <w:tc>
          <w:tcPr>
            <w:tcW w:w="1883" w:type="dxa"/>
            <w:vAlign w:val="center"/>
          </w:tcPr>
          <w:p w14:paraId="0EFB9A94">
            <w:pPr>
              <w:widowControl/>
              <w:overflowPunct w:val="0"/>
              <w:autoSpaceDE w:val="0"/>
              <w:autoSpaceDN w:val="0"/>
              <w:adjustRightInd w:val="0"/>
              <w:snapToGrid w:val="0"/>
              <w:spacing w:line="360" w:lineRule="exact"/>
              <w:jc w:val="center"/>
              <w:textAlignment w:val="baseline"/>
              <w:rPr>
                <w:rFonts w:ascii="黑体" w:hAnsi="黑体" w:eastAsia="黑体" w:cs="黑体"/>
                <w:snapToGrid w:val="0"/>
                <w:kern w:val="0"/>
                <w:sz w:val="28"/>
                <w:szCs w:val="28"/>
              </w:rPr>
            </w:pPr>
            <w:r>
              <w:rPr>
                <w:rFonts w:hint="eastAsia" w:ascii="黑体" w:hAnsi="黑体" w:eastAsia="黑体" w:cs="黑体"/>
                <w:snapToGrid w:val="0"/>
                <w:kern w:val="0"/>
                <w:sz w:val="28"/>
                <w:szCs w:val="28"/>
              </w:rPr>
              <w:t>申报限额总数（单位：项）</w:t>
            </w:r>
          </w:p>
        </w:tc>
      </w:tr>
      <w:tr w14:paraId="30CD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73C76375">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1</w:t>
            </w:r>
          </w:p>
        </w:tc>
        <w:tc>
          <w:tcPr>
            <w:tcW w:w="1254" w:type="dxa"/>
            <w:vMerge w:val="restart"/>
            <w:vAlign w:val="center"/>
          </w:tcPr>
          <w:p w14:paraId="0EAE6544">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语文</w:t>
            </w:r>
          </w:p>
        </w:tc>
        <w:tc>
          <w:tcPr>
            <w:tcW w:w="1439" w:type="dxa"/>
            <w:vMerge w:val="restart"/>
            <w:vAlign w:val="center"/>
          </w:tcPr>
          <w:p w14:paraId="3C6CD41E">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人教版</w:t>
            </w:r>
          </w:p>
        </w:tc>
        <w:tc>
          <w:tcPr>
            <w:tcW w:w="1701" w:type="dxa"/>
            <w:vAlign w:val="center"/>
          </w:tcPr>
          <w:p w14:paraId="05E13F3E">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吉安市</w:t>
            </w:r>
          </w:p>
        </w:tc>
        <w:tc>
          <w:tcPr>
            <w:tcW w:w="1789" w:type="dxa"/>
            <w:vAlign w:val="center"/>
          </w:tcPr>
          <w:p w14:paraId="79C8EB25">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10</w:t>
            </w:r>
          </w:p>
        </w:tc>
        <w:tc>
          <w:tcPr>
            <w:tcW w:w="1883" w:type="dxa"/>
            <w:vMerge w:val="restart"/>
            <w:vAlign w:val="center"/>
          </w:tcPr>
          <w:p w14:paraId="54B73741">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仿宋" w:eastAsia="仿宋_GB2312" w:cs="仿宋"/>
                <w:color w:val="000000"/>
                <w:kern w:val="0"/>
                <w:sz w:val="28"/>
                <w:szCs w:val="28"/>
              </w:rPr>
              <w:t>21</w:t>
            </w:r>
          </w:p>
        </w:tc>
      </w:tr>
      <w:tr w14:paraId="0C6F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3F9FFEB7">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6AE39F33">
            <w:pPr>
              <w:widowControl/>
              <w:spacing w:line="360" w:lineRule="exact"/>
              <w:jc w:val="center"/>
              <w:textAlignment w:val="center"/>
              <w:rPr>
                <w:rFonts w:ascii="仿宋_GB2312" w:hAnsi="仿宋_GB2312" w:eastAsia="仿宋_GB2312" w:cs="仿宋_GB2312"/>
                <w:color w:val="000000"/>
                <w:kern w:val="0"/>
                <w:sz w:val="28"/>
                <w:szCs w:val="28"/>
              </w:rPr>
            </w:pPr>
          </w:p>
        </w:tc>
        <w:tc>
          <w:tcPr>
            <w:tcW w:w="1439" w:type="dxa"/>
            <w:vMerge w:val="continue"/>
            <w:vAlign w:val="center"/>
          </w:tcPr>
          <w:p w14:paraId="40E149DB">
            <w:pPr>
              <w:widowControl/>
              <w:spacing w:line="360" w:lineRule="exact"/>
              <w:jc w:val="center"/>
              <w:textAlignment w:val="center"/>
              <w:rPr>
                <w:rFonts w:ascii="仿宋_GB2312" w:hAnsi="仿宋_GB2312" w:eastAsia="仿宋_GB2312" w:cs="仿宋_GB2312"/>
                <w:color w:val="000000"/>
                <w:kern w:val="0"/>
                <w:sz w:val="28"/>
                <w:szCs w:val="28"/>
              </w:rPr>
            </w:pPr>
          </w:p>
        </w:tc>
        <w:tc>
          <w:tcPr>
            <w:tcW w:w="1701" w:type="dxa"/>
            <w:vAlign w:val="center"/>
          </w:tcPr>
          <w:p w14:paraId="71986256">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抚州市</w:t>
            </w:r>
          </w:p>
        </w:tc>
        <w:tc>
          <w:tcPr>
            <w:tcW w:w="1789" w:type="dxa"/>
            <w:vAlign w:val="center"/>
          </w:tcPr>
          <w:p w14:paraId="3638055A">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5</w:t>
            </w:r>
          </w:p>
        </w:tc>
        <w:tc>
          <w:tcPr>
            <w:tcW w:w="1883" w:type="dxa"/>
            <w:vMerge w:val="continue"/>
            <w:vAlign w:val="center"/>
          </w:tcPr>
          <w:p w14:paraId="1BF07B31">
            <w:pPr>
              <w:widowControl/>
              <w:spacing w:line="360" w:lineRule="exact"/>
              <w:jc w:val="center"/>
              <w:textAlignment w:val="center"/>
              <w:rPr>
                <w:rFonts w:ascii="仿宋_GB2312" w:hAnsi="仿宋_GB2312" w:eastAsia="仿宋_GB2312" w:cs="仿宋_GB2312"/>
                <w:snapToGrid w:val="0"/>
                <w:kern w:val="0"/>
                <w:sz w:val="28"/>
                <w:szCs w:val="28"/>
              </w:rPr>
            </w:pPr>
          </w:p>
        </w:tc>
      </w:tr>
      <w:tr w14:paraId="0E49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40588366">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14A887C5">
            <w:pPr>
              <w:widowControl/>
              <w:spacing w:line="360" w:lineRule="exact"/>
              <w:jc w:val="center"/>
              <w:textAlignment w:val="center"/>
              <w:rPr>
                <w:rFonts w:ascii="仿宋_GB2312" w:hAnsi="仿宋_GB2312" w:eastAsia="仿宋_GB2312" w:cs="仿宋_GB2312"/>
                <w:color w:val="000000"/>
                <w:kern w:val="0"/>
                <w:sz w:val="28"/>
                <w:szCs w:val="28"/>
              </w:rPr>
            </w:pPr>
          </w:p>
        </w:tc>
        <w:tc>
          <w:tcPr>
            <w:tcW w:w="1439" w:type="dxa"/>
            <w:vMerge w:val="continue"/>
            <w:vAlign w:val="center"/>
          </w:tcPr>
          <w:p w14:paraId="008DC4A0">
            <w:pPr>
              <w:widowControl/>
              <w:spacing w:line="360" w:lineRule="exact"/>
              <w:jc w:val="center"/>
              <w:textAlignment w:val="center"/>
              <w:rPr>
                <w:rFonts w:ascii="仿宋_GB2312" w:hAnsi="仿宋_GB2312" w:eastAsia="仿宋_GB2312" w:cs="仿宋_GB2312"/>
                <w:color w:val="000000"/>
                <w:kern w:val="0"/>
                <w:sz w:val="28"/>
                <w:szCs w:val="28"/>
              </w:rPr>
            </w:pPr>
          </w:p>
        </w:tc>
        <w:tc>
          <w:tcPr>
            <w:tcW w:w="1701" w:type="dxa"/>
            <w:vAlign w:val="center"/>
          </w:tcPr>
          <w:p w14:paraId="7D196636">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萍乡市</w:t>
            </w:r>
          </w:p>
        </w:tc>
        <w:tc>
          <w:tcPr>
            <w:tcW w:w="1789" w:type="dxa"/>
            <w:vAlign w:val="center"/>
          </w:tcPr>
          <w:p w14:paraId="61083364">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6</w:t>
            </w:r>
          </w:p>
        </w:tc>
        <w:tc>
          <w:tcPr>
            <w:tcW w:w="1883" w:type="dxa"/>
            <w:vMerge w:val="continue"/>
            <w:vAlign w:val="center"/>
          </w:tcPr>
          <w:p w14:paraId="26015944">
            <w:pPr>
              <w:spacing w:line="360" w:lineRule="exact"/>
              <w:jc w:val="center"/>
              <w:rPr>
                <w:rFonts w:ascii="仿宋_GB2312" w:hAnsi="仿宋_GB2312" w:eastAsia="仿宋_GB2312" w:cs="仿宋_GB2312"/>
                <w:snapToGrid w:val="0"/>
                <w:kern w:val="0"/>
                <w:sz w:val="28"/>
                <w:szCs w:val="28"/>
              </w:rPr>
            </w:pPr>
          </w:p>
        </w:tc>
      </w:tr>
      <w:tr w14:paraId="4F86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09DD2BDB">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2</w:t>
            </w:r>
          </w:p>
        </w:tc>
        <w:tc>
          <w:tcPr>
            <w:tcW w:w="1254" w:type="dxa"/>
            <w:vMerge w:val="restart"/>
            <w:vAlign w:val="center"/>
          </w:tcPr>
          <w:p w14:paraId="4AE919BA">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数学</w:t>
            </w:r>
          </w:p>
        </w:tc>
        <w:tc>
          <w:tcPr>
            <w:tcW w:w="1439" w:type="dxa"/>
            <w:vMerge w:val="restart"/>
            <w:vAlign w:val="center"/>
          </w:tcPr>
          <w:p w14:paraId="22FFEEB3">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北师大版</w:t>
            </w:r>
          </w:p>
        </w:tc>
        <w:tc>
          <w:tcPr>
            <w:tcW w:w="1701" w:type="dxa"/>
            <w:vAlign w:val="center"/>
          </w:tcPr>
          <w:p w14:paraId="3E3B3100">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赣州市</w:t>
            </w:r>
          </w:p>
        </w:tc>
        <w:tc>
          <w:tcPr>
            <w:tcW w:w="1789" w:type="dxa"/>
            <w:vAlign w:val="center"/>
          </w:tcPr>
          <w:p w14:paraId="5A48C870">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12</w:t>
            </w:r>
          </w:p>
        </w:tc>
        <w:tc>
          <w:tcPr>
            <w:tcW w:w="1883" w:type="dxa"/>
            <w:vMerge w:val="restart"/>
            <w:vAlign w:val="center"/>
          </w:tcPr>
          <w:p w14:paraId="76B6104D">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仿宋" w:eastAsia="仿宋_GB2312" w:cs="仿宋"/>
                <w:color w:val="000000"/>
                <w:kern w:val="0"/>
                <w:sz w:val="28"/>
                <w:szCs w:val="28"/>
              </w:rPr>
              <w:t>25</w:t>
            </w:r>
          </w:p>
        </w:tc>
      </w:tr>
      <w:tr w14:paraId="3628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06505AD6">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181D73D4">
            <w:pPr>
              <w:widowControl/>
              <w:spacing w:line="360" w:lineRule="exact"/>
              <w:jc w:val="center"/>
              <w:textAlignment w:val="center"/>
              <w:rPr>
                <w:rFonts w:ascii="仿宋_GB2312" w:hAnsi="仿宋_GB2312" w:eastAsia="仿宋_GB2312" w:cs="仿宋_GB2312"/>
                <w:color w:val="000000"/>
                <w:kern w:val="0"/>
                <w:sz w:val="28"/>
                <w:szCs w:val="28"/>
              </w:rPr>
            </w:pPr>
          </w:p>
        </w:tc>
        <w:tc>
          <w:tcPr>
            <w:tcW w:w="1439" w:type="dxa"/>
            <w:vMerge w:val="continue"/>
            <w:vAlign w:val="center"/>
          </w:tcPr>
          <w:p w14:paraId="5B1C4818">
            <w:pPr>
              <w:widowControl/>
              <w:spacing w:line="360" w:lineRule="exact"/>
              <w:jc w:val="center"/>
              <w:textAlignment w:val="center"/>
              <w:rPr>
                <w:rFonts w:ascii="仿宋_GB2312" w:hAnsi="仿宋_GB2312" w:eastAsia="仿宋_GB2312" w:cs="仿宋_GB2312"/>
                <w:color w:val="000000"/>
                <w:kern w:val="0"/>
                <w:sz w:val="28"/>
                <w:szCs w:val="28"/>
              </w:rPr>
            </w:pPr>
          </w:p>
        </w:tc>
        <w:tc>
          <w:tcPr>
            <w:tcW w:w="1701" w:type="dxa"/>
            <w:vAlign w:val="center"/>
          </w:tcPr>
          <w:p w14:paraId="172853F6">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南昌市</w:t>
            </w:r>
          </w:p>
        </w:tc>
        <w:tc>
          <w:tcPr>
            <w:tcW w:w="1789" w:type="dxa"/>
            <w:vAlign w:val="center"/>
          </w:tcPr>
          <w:p w14:paraId="52060689">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13</w:t>
            </w:r>
          </w:p>
        </w:tc>
        <w:tc>
          <w:tcPr>
            <w:tcW w:w="1883" w:type="dxa"/>
            <w:vMerge w:val="continue"/>
            <w:vAlign w:val="center"/>
          </w:tcPr>
          <w:p w14:paraId="794E4A0F">
            <w:pPr>
              <w:spacing w:line="360" w:lineRule="exact"/>
              <w:jc w:val="center"/>
              <w:rPr>
                <w:rFonts w:ascii="仿宋_GB2312" w:hAnsi="仿宋_GB2312" w:eastAsia="仿宋_GB2312" w:cs="仿宋_GB2312"/>
                <w:snapToGrid w:val="0"/>
                <w:kern w:val="0"/>
                <w:sz w:val="28"/>
                <w:szCs w:val="28"/>
              </w:rPr>
            </w:pPr>
          </w:p>
        </w:tc>
      </w:tr>
      <w:tr w14:paraId="28ED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54A0C31E">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3</w:t>
            </w:r>
          </w:p>
        </w:tc>
        <w:tc>
          <w:tcPr>
            <w:tcW w:w="1254" w:type="dxa"/>
            <w:vMerge w:val="restart"/>
            <w:vAlign w:val="center"/>
          </w:tcPr>
          <w:p w14:paraId="4FBCB73D">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英语</w:t>
            </w:r>
          </w:p>
        </w:tc>
        <w:tc>
          <w:tcPr>
            <w:tcW w:w="1439" w:type="dxa"/>
            <w:vMerge w:val="restart"/>
            <w:vAlign w:val="center"/>
          </w:tcPr>
          <w:p w14:paraId="7DD7FAEC">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人教版</w:t>
            </w:r>
          </w:p>
        </w:tc>
        <w:tc>
          <w:tcPr>
            <w:tcW w:w="1701" w:type="dxa"/>
            <w:vAlign w:val="center"/>
          </w:tcPr>
          <w:p w14:paraId="5E4B3318">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南昌市</w:t>
            </w:r>
          </w:p>
        </w:tc>
        <w:tc>
          <w:tcPr>
            <w:tcW w:w="1789" w:type="dxa"/>
            <w:vAlign w:val="center"/>
          </w:tcPr>
          <w:p w14:paraId="33980CAC">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13</w:t>
            </w:r>
          </w:p>
        </w:tc>
        <w:tc>
          <w:tcPr>
            <w:tcW w:w="1883" w:type="dxa"/>
            <w:vMerge w:val="restart"/>
            <w:vAlign w:val="center"/>
          </w:tcPr>
          <w:p w14:paraId="5CD4D614">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宋体" w:eastAsia="仿宋_GB2312" w:cs="宋体"/>
                <w:color w:val="000000"/>
                <w:kern w:val="0"/>
                <w:sz w:val="28"/>
                <w:szCs w:val="28"/>
              </w:rPr>
              <w:t>25</w:t>
            </w:r>
          </w:p>
        </w:tc>
      </w:tr>
      <w:tr w14:paraId="4D10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549BEF8B">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1ACCD286">
            <w:pPr>
              <w:widowControl/>
              <w:spacing w:line="360" w:lineRule="exact"/>
              <w:jc w:val="center"/>
              <w:textAlignment w:val="center"/>
              <w:rPr>
                <w:rFonts w:ascii="仿宋_GB2312" w:hAnsi="仿宋_GB2312" w:eastAsia="仿宋_GB2312" w:cs="仿宋_GB2312"/>
                <w:color w:val="000000"/>
                <w:kern w:val="0"/>
                <w:sz w:val="28"/>
                <w:szCs w:val="28"/>
              </w:rPr>
            </w:pPr>
          </w:p>
        </w:tc>
        <w:tc>
          <w:tcPr>
            <w:tcW w:w="1439" w:type="dxa"/>
            <w:vMerge w:val="continue"/>
            <w:vAlign w:val="center"/>
          </w:tcPr>
          <w:p w14:paraId="0548A674">
            <w:pPr>
              <w:widowControl/>
              <w:spacing w:line="360" w:lineRule="exact"/>
              <w:jc w:val="center"/>
              <w:textAlignment w:val="center"/>
              <w:rPr>
                <w:rFonts w:ascii="仿宋_GB2312" w:hAnsi="仿宋_GB2312" w:eastAsia="仿宋_GB2312" w:cs="仿宋_GB2312"/>
                <w:color w:val="000000"/>
                <w:kern w:val="0"/>
                <w:sz w:val="28"/>
                <w:szCs w:val="28"/>
              </w:rPr>
            </w:pPr>
          </w:p>
        </w:tc>
        <w:tc>
          <w:tcPr>
            <w:tcW w:w="1701" w:type="dxa"/>
            <w:vAlign w:val="center"/>
          </w:tcPr>
          <w:p w14:paraId="0998CB57">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赣州市</w:t>
            </w:r>
          </w:p>
        </w:tc>
        <w:tc>
          <w:tcPr>
            <w:tcW w:w="1789" w:type="dxa"/>
            <w:vAlign w:val="center"/>
          </w:tcPr>
          <w:p w14:paraId="03791461">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12</w:t>
            </w:r>
          </w:p>
        </w:tc>
        <w:tc>
          <w:tcPr>
            <w:tcW w:w="1883" w:type="dxa"/>
            <w:vMerge w:val="continue"/>
            <w:vAlign w:val="center"/>
          </w:tcPr>
          <w:p w14:paraId="496150CF">
            <w:pPr>
              <w:spacing w:line="360" w:lineRule="exact"/>
              <w:jc w:val="center"/>
              <w:rPr>
                <w:rFonts w:ascii="仿宋_GB2312" w:hAnsi="仿宋_GB2312" w:eastAsia="仿宋_GB2312" w:cs="仿宋_GB2312"/>
                <w:snapToGrid w:val="0"/>
                <w:kern w:val="0"/>
                <w:sz w:val="28"/>
                <w:szCs w:val="28"/>
              </w:rPr>
            </w:pPr>
          </w:p>
        </w:tc>
      </w:tr>
      <w:tr w14:paraId="6443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7D57593F">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4</w:t>
            </w:r>
          </w:p>
        </w:tc>
        <w:tc>
          <w:tcPr>
            <w:tcW w:w="1254" w:type="dxa"/>
            <w:vMerge w:val="restart"/>
            <w:vAlign w:val="center"/>
          </w:tcPr>
          <w:p w14:paraId="7C84F3E1">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物理</w:t>
            </w:r>
          </w:p>
        </w:tc>
        <w:tc>
          <w:tcPr>
            <w:tcW w:w="1439" w:type="dxa"/>
            <w:vMerge w:val="restart"/>
            <w:vAlign w:val="center"/>
          </w:tcPr>
          <w:p w14:paraId="25500FE4">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人教版</w:t>
            </w:r>
          </w:p>
        </w:tc>
        <w:tc>
          <w:tcPr>
            <w:tcW w:w="1701" w:type="dxa"/>
            <w:vAlign w:val="center"/>
          </w:tcPr>
          <w:p w14:paraId="32E3A040">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吉安市</w:t>
            </w:r>
          </w:p>
        </w:tc>
        <w:tc>
          <w:tcPr>
            <w:tcW w:w="1789" w:type="dxa"/>
            <w:vAlign w:val="center"/>
          </w:tcPr>
          <w:p w14:paraId="0C565DD8">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8</w:t>
            </w:r>
          </w:p>
        </w:tc>
        <w:tc>
          <w:tcPr>
            <w:tcW w:w="1883" w:type="dxa"/>
            <w:vMerge w:val="restart"/>
            <w:vAlign w:val="center"/>
          </w:tcPr>
          <w:p w14:paraId="5994635C">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宋体" w:eastAsia="仿宋_GB2312" w:cs="宋体"/>
                <w:color w:val="000000"/>
                <w:kern w:val="0"/>
                <w:sz w:val="28"/>
                <w:szCs w:val="28"/>
              </w:rPr>
              <w:t>18</w:t>
            </w:r>
          </w:p>
        </w:tc>
      </w:tr>
      <w:tr w14:paraId="4F49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67001363">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2F61DD33">
            <w:pPr>
              <w:widowControl/>
              <w:spacing w:line="360" w:lineRule="exact"/>
              <w:jc w:val="center"/>
              <w:textAlignment w:val="center"/>
              <w:rPr>
                <w:rFonts w:ascii="仿宋_GB2312" w:hAnsi="仿宋_GB2312" w:eastAsia="仿宋_GB2312" w:cs="仿宋_GB2312"/>
                <w:color w:val="000000"/>
                <w:kern w:val="0"/>
                <w:sz w:val="28"/>
                <w:szCs w:val="28"/>
              </w:rPr>
            </w:pPr>
          </w:p>
        </w:tc>
        <w:tc>
          <w:tcPr>
            <w:tcW w:w="1439" w:type="dxa"/>
            <w:vMerge w:val="continue"/>
            <w:vAlign w:val="center"/>
          </w:tcPr>
          <w:p w14:paraId="3A44FE3F">
            <w:pPr>
              <w:widowControl/>
              <w:spacing w:line="360" w:lineRule="exact"/>
              <w:jc w:val="center"/>
              <w:textAlignment w:val="center"/>
              <w:rPr>
                <w:rFonts w:ascii="仿宋_GB2312" w:hAnsi="仿宋_GB2312" w:eastAsia="仿宋_GB2312" w:cs="仿宋_GB2312"/>
                <w:color w:val="000000"/>
                <w:kern w:val="0"/>
                <w:sz w:val="28"/>
                <w:szCs w:val="28"/>
              </w:rPr>
            </w:pPr>
          </w:p>
        </w:tc>
        <w:tc>
          <w:tcPr>
            <w:tcW w:w="1701" w:type="dxa"/>
            <w:vAlign w:val="center"/>
          </w:tcPr>
          <w:p w14:paraId="71A2DB79">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九江市</w:t>
            </w:r>
          </w:p>
        </w:tc>
        <w:tc>
          <w:tcPr>
            <w:tcW w:w="1789" w:type="dxa"/>
            <w:vAlign w:val="center"/>
          </w:tcPr>
          <w:p w14:paraId="1CD7777E">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10</w:t>
            </w:r>
          </w:p>
        </w:tc>
        <w:tc>
          <w:tcPr>
            <w:tcW w:w="1883" w:type="dxa"/>
            <w:vMerge w:val="continue"/>
            <w:vAlign w:val="center"/>
          </w:tcPr>
          <w:p w14:paraId="0D701778">
            <w:pPr>
              <w:spacing w:line="360" w:lineRule="exact"/>
              <w:jc w:val="center"/>
              <w:rPr>
                <w:rFonts w:ascii="仿宋_GB2312" w:hAnsi="仿宋_GB2312" w:eastAsia="仿宋_GB2312" w:cs="仿宋_GB2312"/>
                <w:snapToGrid w:val="0"/>
                <w:kern w:val="0"/>
                <w:sz w:val="28"/>
                <w:szCs w:val="28"/>
              </w:rPr>
            </w:pPr>
          </w:p>
        </w:tc>
      </w:tr>
      <w:tr w14:paraId="66E7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14659FF8">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5</w:t>
            </w:r>
          </w:p>
        </w:tc>
        <w:tc>
          <w:tcPr>
            <w:tcW w:w="1254" w:type="dxa"/>
            <w:vMerge w:val="restart"/>
            <w:vAlign w:val="center"/>
          </w:tcPr>
          <w:p w14:paraId="1E6C3CF5">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化学</w:t>
            </w:r>
          </w:p>
        </w:tc>
        <w:tc>
          <w:tcPr>
            <w:tcW w:w="1439" w:type="dxa"/>
            <w:vMerge w:val="restart"/>
            <w:vAlign w:val="center"/>
          </w:tcPr>
          <w:p w14:paraId="4FEDC3BE">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人教版</w:t>
            </w:r>
          </w:p>
        </w:tc>
        <w:tc>
          <w:tcPr>
            <w:tcW w:w="1701" w:type="dxa"/>
            <w:vAlign w:val="center"/>
          </w:tcPr>
          <w:p w14:paraId="69ED3DED">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九江市</w:t>
            </w:r>
          </w:p>
        </w:tc>
        <w:tc>
          <w:tcPr>
            <w:tcW w:w="1789" w:type="dxa"/>
            <w:vAlign w:val="center"/>
          </w:tcPr>
          <w:p w14:paraId="4FF20170">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10</w:t>
            </w:r>
          </w:p>
        </w:tc>
        <w:tc>
          <w:tcPr>
            <w:tcW w:w="1883" w:type="dxa"/>
            <w:vMerge w:val="restart"/>
            <w:vAlign w:val="center"/>
          </w:tcPr>
          <w:p w14:paraId="5665D372">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方正仿宋" w:eastAsia="仿宋_GB2312" w:cs="方正仿宋"/>
                <w:color w:val="000000"/>
                <w:kern w:val="0"/>
                <w:sz w:val="28"/>
                <w:szCs w:val="28"/>
              </w:rPr>
              <w:t>21</w:t>
            </w:r>
          </w:p>
        </w:tc>
      </w:tr>
      <w:tr w14:paraId="2893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7456772D">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124C639E">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439" w:type="dxa"/>
            <w:vMerge w:val="continue"/>
            <w:vAlign w:val="center"/>
          </w:tcPr>
          <w:p w14:paraId="24F92F07">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701" w:type="dxa"/>
            <w:vAlign w:val="center"/>
          </w:tcPr>
          <w:p w14:paraId="05647123">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宜春市</w:t>
            </w:r>
          </w:p>
        </w:tc>
        <w:tc>
          <w:tcPr>
            <w:tcW w:w="1789" w:type="dxa"/>
            <w:vAlign w:val="center"/>
          </w:tcPr>
          <w:p w14:paraId="458FFE8F">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8</w:t>
            </w:r>
          </w:p>
        </w:tc>
        <w:tc>
          <w:tcPr>
            <w:tcW w:w="1883" w:type="dxa"/>
            <w:vMerge w:val="continue"/>
            <w:vAlign w:val="center"/>
          </w:tcPr>
          <w:p w14:paraId="44C059D3">
            <w:pPr>
              <w:widowControl/>
              <w:spacing w:line="360" w:lineRule="exact"/>
              <w:jc w:val="center"/>
              <w:textAlignment w:val="center"/>
              <w:rPr>
                <w:rFonts w:ascii="仿宋_GB2312" w:hAnsi="仿宋_GB2312" w:eastAsia="仿宋_GB2312" w:cs="仿宋_GB2312"/>
                <w:snapToGrid w:val="0"/>
                <w:kern w:val="0"/>
                <w:sz w:val="28"/>
                <w:szCs w:val="28"/>
              </w:rPr>
            </w:pPr>
          </w:p>
        </w:tc>
      </w:tr>
      <w:tr w14:paraId="0098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4B1382AF">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6F013CD3">
            <w:pPr>
              <w:widowControl/>
              <w:spacing w:line="360" w:lineRule="exact"/>
              <w:jc w:val="center"/>
              <w:textAlignment w:val="center"/>
              <w:rPr>
                <w:rFonts w:ascii="仿宋_GB2312" w:hAnsi="仿宋_GB2312" w:eastAsia="仿宋_GB2312" w:cs="仿宋_GB2312"/>
                <w:color w:val="000000"/>
                <w:kern w:val="0"/>
                <w:sz w:val="28"/>
                <w:szCs w:val="28"/>
              </w:rPr>
            </w:pPr>
          </w:p>
        </w:tc>
        <w:tc>
          <w:tcPr>
            <w:tcW w:w="1439" w:type="dxa"/>
            <w:vMerge w:val="continue"/>
            <w:vAlign w:val="center"/>
          </w:tcPr>
          <w:p w14:paraId="25149C53">
            <w:pPr>
              <w:widowControl/>
              <w:spacing w:line="360" w:lineRule="exact"/>
              <w:jc w:val="center"/>
              <w:textAlignment w:val="center"/>
              <w:rPr>
                <w:rFonts w:ascii="仿宋_GB2312" w:hAnsi="仿宋_GB2312" w:eastAsia="仿宋_GB2312" w:cs="仿宋_GB2312"/>
                <w:color w:val="000000"/>
                <w:kern w:val="0"/>
                <w:sz w:val="28"/>
                <w:szCs w:val="28"/>
              </w:rPr>
            </w:pPr>
          </w:p>
        </w:tc>
        <w:tc>
          <w:tcPr>
            <w:tcW w:w="1701" w:type="dxa"/>
            <w:vAlign w:val="center"/>
          </w:tcPr>
          <w:p w14:paraId="259D4C5A">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鹰潭市</w:t>
            </w:r>
          </w:p>
        </w:tc>
        <w:tc>
          <w:tcPr>
            <w:tcW w:w="1789" w:type="dxa"/>
            <w:vAlign w:val="center"/>
          </w:tcPr>
          <w:p w14:paraId="63FD426E">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3</w:t>
            </w:r>
          </w:p>
        </w:tc>
        <w:tc>
          <w:tcPr>
            <w:tcW w:w="1883" w:type="dxa"/>
            <w:vMerge w:val="continue"/>
            <w:vAlign w:val="center"/>
          </w:tcPr>
          <w:p w14:paraId="6A2E8CD8">
            <w:pPr>
              <w:spacing w:line="360" w:lineRule="exact"/>
              <w:jc w:val="center"/>
              <w:rPr>
                <w:rFonts w:ascii="仿宋_GB2312" w:hAnsi="仿宋_GB2312" w:eastAsia="仿宋_GB2312" w:cs="仿宋_GB2312"/>
                <w:snapToGrid w:val="0"/>
                <w:kern w:val="0"/>
                <w:sz w:val="28"/>
                <w:szCs w:val="28"/>
              </w:rPr>
            </w:pPr>
          </w:p>
        </w:tc>
      </w:tr>
      <w:tr w14:paraId="1408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11E84B07">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6</w:t>
            </w:r>
          </w:p>
        </w:tc>
        <w:tc>
          <w:tcPr>
            <w:tcW w:w="1254" w:type="dxa"/>
            <w:vMerge w:val="restart"/>
            <w:vAlign w:val="center"/>
          </w:tcPr>
          <w:p w14:paraId="4D0141B6">
            <w:pPr>
              <w:widowControl/>
              <w:spacing w:line="360" w:lineRule="exact"/>
              <w:jc w:val="center"/>
              <w:textAlignment w:val="center"/>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color w:val="000000"/>
                <w:kern w:val="0"/>
                <w:sz w:val="28"/>
                <w:szCs w:val="28"/>
              </w:rPr>
              <w:t>生物学</w:t>
            </w:r>
          </w:p>
        </w:tc>
        <w:tc>
          <w:tcPr>
            <w:tcW w:w="1439" w:type="dxa"/>
            <w:vMerge w:val="restart"/>
            <w:vAlign w:val="center"/>
          </w:tcPr>
          <w:p w14:paraId="7A0682E6">
            <w:pPr>
              <w:widowControl/>
              <w:spacing w:line="360" w:lineRule="exact"/>
              <w:jc w:val="center"/>
              <w:textAlignment w:val="center"/>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color w:val="000000"/>
                <w:kern w:val="0"/>
                <w:sz w:val="28"/>
                <w:szCs w:val="28"/>
              </w:rPr>
              <w:t>人教版</w:t>
            </w:r>
          </w:p>
        </w:tc>
        <w:tc>
          <w:tcPr>
            <w:tcW w:w="1701" w:type="dxa"/>
            <w:vAlign w:val="center"/>
          </w:tcPr>
          <w:p w14:paraId="0C82EBB9">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赣州市</w:t>
            </w:r>
          </w:p>
        </w:tc>
        <w:tc>
          <w:tcPr>
            <w:tcW w:w="1789" w:type="dxa"/>
            <w:vAlign w:val="center"/>
          </w:tcPr>
          <w:p w14:paraId="6CCA64F7">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9</w:t>
            </w:r>
          </w:p>
        </w:tc>
        <w:tc>
          <w:tcPr>
            <w:tcW w:w="1883" w:type="dxa"/>
            <w:vMerge w:val="restart"/>
            <w:vAlign w:val="center"/>
          </w:tcPr>
          <w:p w14:paraId="06D85AA9">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方正仿宋" w:eastAsia="仿宋_GB2312" w:cs="方正仿宋"/>
                <w:color w:val="000000"/>
                <w:kern w:val="0"/>
                <w:sz w:val="28"/>
                <w:szCs w:val="28"/>
              </w:rPr>
              <w:t>19</w:t>
            </w:r>
          </w:p>
        </w:tc>
      </w:tr>
      <w:tr w14:paraId="69B0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0A437396">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6E1B8E91">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439" w:type="dxa"/>
            <w:vMerge w:val="continue"/>
            <w:vAlign w:val="center"/>
          </w:tcPr>
          <w:p w14:paraId="519062BC">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701" w:type="dxa"/>
            <w:vAlign w:val="center"/>
          </w:tcPr>
          <w:p w14:paraId="12CA0760">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宜春市</w:t>
            </w:r>
          </w:p>
        </w:tc>
        <w:tc>
          <w:tcPr>
            <w:tcW w:w="1789" w:type="dxa"/>
            <w:vAlign w:val="center"/>
          </w:tcPr>
          <w:p w14:paraId="645FB999">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10</w:t>
            </w:r>
          </w:p>
        </w:tc>
        <w:tc>
          <w:tcPr>
            <w:tcW w:w="1883" w:type="dxa"/>
            <w:vMerge w:val="continue"/>
            <w:vAlign w:val="center"/>
          </w:tcPr>
          <w:p w14:paraId="487BF044">
            <w:pPr>
              <w:spacing w:line="360" w:lineRule="exact"/>
              <w:jc w:val="center"/>
              <w:rPr>
                <w:rFonts w:ascii="仿宋_GB2312" w:hAnsi="仿宋_GB2312" w:eastAsia="仿宋_GB2312" w:cs="仿宋_GB2312"/>
                <w:snapToGrid w:val="0"/>
                <w:kern w:val="0"/>
                <w:sz w:val="28"/>
                <w:szCs w:val="28"/>
              </w:rPr>
            </w:pPr>
          </w:p>
        </w:tc>
      </w:tr>
      <w:tr w14:paraId="7558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1448EC00">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7</w:t>
            </w:r>
          </w:p>
        </w:tc>
        <w:tc>
          <w:tcPr>
            <w:tcW w:w="1254" w:type="dxa"/>
            <w:vMerge w:val="restart"/>
            <w:vAlign w:val="center"/>
          </w:tcPr>
          <w:p w14:paraId="74FA1487">
            <w:pPr>
              <w:widowControl/>
              <w:spacing w:line="360" w:lineRule="exact"/>
              <w:jc w:val="center"/>
              <w:textAlignment w:val="center"/>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color w:val="000000"/>
                <w:kern w:val="0"/>
                <w:sz w:val="28"/>
                <w:szCs w:val="28"/>
              </w:rPr>
              <w:t>思想政治</w:t>
            </w:r>
          </w:p>
        </w:tc>
        <w:tc>
          <w:tcPr>
            <w:tcW w:w="1439" w:type="dxa"/>
            <w:vMerge w:val="restart"/>
            <w:vAlign w:val="center"/>
          </w:tcPr>
          <w:p w14:paraId="774C0C86">
            <w:pPr>
              <w:widowControl/>
              <w:spacing w:line="360" w:lineRule="exact"/>
              <w:jc w:val="center"/>
              <w:textAlignment w:val="center"/>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color w:val="000000"/>
                <w:kern w:val="0"/>
                <w:sz w:val="28"/>
                <w:szCs w:val="28"/>
              </w:rPr>
              <w:t>统编版</w:t>
            </w:r>
          </w:p>
        </w:tc>
        <w:tc>
          <w:tcPr>
            <w:tcW w:w="1701" w:type="dxa"/>
            <w:vAlign w:val="center"/>
          </w:tcPr>
          <w:p w14:paraId="44A1DEDB">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萍乡市</w:t>
            </w:r>
          </w:p>
        </w:tc>
        <w:tc>
          <w:tcPr>
            <w:tcW w:w="1789" w:type="dxa"/>
            <w:vAlign w:val="center"/>
          </w:tcPr>
          <w:p w14:paraId="0A68F473">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5</w:t>
            </w:r>
          </w:p>
        </w:tc>
        <w:tc>
          <w:tcPr>
            <w:tcW w:w="1883" w:type="dxa"/>
            <w:vMerge w:val="restart"/>
            <w:vAlign w:val="center"/>
          </w:tcPr>
          <w:p w14:paraId="5303C8D0">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方正仿宋" w:eastAsia="仿宋_GB2312" w:cs="方正仿宋"/>
                <w:color w:val="000000"/>
                <w:kern w:val="0"/>
                <w:sz w:val="28"/>
                <w:szCs w:val="28"/>
              </w:rPr>
              <w:t>17</w:t>
            </w:r>
          </w:p>
        </w:tc>
      </w:tr>
      <w:tr w14:paraId="4B83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01134B64">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7A69EB21">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439" w:type="dxa"/>
            <w:vMerge w:val="continue"/>
            <w:vAlign w:val="center"/>
          </w:tcPr>
          <w:p w14:paraId="4C627DF0">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701" w:type="dxa"/>
            <w:vAlign w:val="center"/>
          </w:tcPr>
          <w:p w14:paraId="2E767150">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九江</w:t>
            </w:r>
          </w:p>
        </w:tc>
        <w:tc>
          <w:tcPr>
            <w:tcW w:w="1789" w:type="dxa"/>
            <w:vAlign w:val="center"/>
          </w:tcPr>
          <w:p w14:paraId="10367B53">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8</w:t>
            </w:r>
          </w:p>
        </w:tc>
        <w:tc>
          <w:tcPr>
            <w:tcW w:w="1883" w:type="dxa"/>
            <w:vMerge w:val="continue"/>
            <w:vAlign w:val="center"/>
          </w:tcPr>
          <w:p w14:paraId="1674184E">
            <w:pPr>
              <w:widowControl/>
              <w:spacing w:line="360" w:lineRule="exact"/>
              <w:jc w:val="center"/>
              <w:textAlignment w:val="center"/>
              <w:rPr>
                <w:rFonts w:ascii="仿宋_GB2312" w:hAnsi="仿宋_GB2312" w:eastAsia="仿宋_GB2312" w:cs="仿宋_GB2312"/>
                <w:snapToGrid w:val="0"/>
                <w:kern w:val="0"/>
                <w:sz w:val="28"/>
                <w:szCs w:val="28"/>
              </w:rPr>
            </w:pPr>
          </w:p>
        </w:tc>
      </w:tr>
      <w:tr w14:paraId="13C9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6462707E">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729A4D22">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439" w:type="dxa"/>
            <w:vMerge w:val="continue"/>
            <w:vAlign w:val="center"/>
          </w:tcPr>
          <w:p w14:paraId="6E9394A9">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701" w:type="dxa"/>
            <w:vAlign w:val="center"/>
          </w:tcPr>
          <w:p w14:paraId="69D06B36">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新余</w:t>
            </w:r>
          </w:p>
        </w:tc>
        <w:tc>
          <w:tcPr>
            <w:tcW w:w="1789" w:type="dxa"/>
            <w:vAlign w:val="center"/>
          </w:tcPr>
          <w:p w14:paraId="6DC8C652">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4</w:t>
            </w:r>
          </w:p>
        </w:tc>
        <w:tc>
          <w:tcPr>
            <w:tcW w:w="1883" w:type="dxa"/>
            <w:vMerge w:val="continue"/>
            <w:vAlign w:val="center"/>
          </w:tcPr>
          <w:p w14:paraId="343F3BDB">
            <w:pPr>
              <w:spacing w:line="360" w:lineRule="exact"/>
              <w:jc w:val="center"/>
              <w:rPr>
                <w:rFonts w:ascii="仿宋_GB2312" w:hAnsi="仿宋_GB2312" w:eastAsia="仿宋_GB2312" w:cs="仿宋_GB2312"/>
                <w:snapToGrid w:val="0"/>
                <w:kern w:val="0"/>
                <w:sz w:val="28"/>
                <w:szCs w:val="28"/>
              </w:rPr>
            </w:pPr>
          </w:p>
        </w:tc>
      </w:tr>
      <w:tr w14:paraId="7CBB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67D17DF9">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8</w:t>
            </w:r>
          </w:p>
        </w:tc>
        <w:tc>
          <w:tcPr>
            <w:tcW w:w="1254" w:type="dxa"/>
            <w:vMerge w:val="restart"/>
            <w:vAlign w:val="center"/>
          </w:tcPr>
          <w:p w14:paraId="0AB1643D">
            <w:pPr>
              <w:widowControl/>
              <w:spacing w:line="360" w:lineRule="exact"/>
              <w:jc w:val="center"/>
              <w:textAlignment w:val="center"/>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color w:val="000000"/>
                <w:kern w:val="0"/>
                <w:sz w:val="28"/>
                <w:szCs w:val="28"/>
              </w:rPr>
              <w:t>历史</w:t>
            </w:r>
          </w:p>
        </w:tc>
        <w:tc>
          <w:tcPr>
            <w:tcW w:w="1439" w:type="dxa"/>
            <w:vMerge w:val="restart"/>
            <w:vAlign w:val="center"/>
          </w:tcPr>
          <w:p w14:paraId="147DEF37">
            <w:pPr>
              <w:widowControl/>
              <w:spacing w:line="360" w:lineRule="exact"/>
              <w:jc w:val="center"/>
              <w:textAlignment w:val="center"/>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color w:val="000000"/>
                <w:kern w:val="0"/>
                <w:sz w:val="28"/>
                <w:szCs w:val="28"/>
              </w:rPr>
              <w:t>统编版</w:t>
            </w:r>
          </w:p>
        </w:tc>
        <w:tc>
          <w:tcPr>
            <w:tcW w:w="1701" w:type="dxa"/>
            <w:vAlign w:val="center"/>
          </w:tcPr>
          <w:p w14:paraId="0BF9B21C">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上饶市</w:t>
            </w:r>
          </w:p>
        </w:tc>
        <w:tc>
          <w:tcPr>
            <w:tcW w:w="1789" w:type="dxa"/>
            <w:vAlign w:val="center"/>
          </w:tcPr>
          <w:p w14:paraId="20743C59">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7</w:t>
            </w:r>
          </w:p>
        </w:tc>
        <w:tc>
          <w:tcPr>
            <w:tcW w:w="1883" w:type="dxa"/>
            <w:vMerge w:val="restart"/>
            <w:vAlign w:val="center"/>
          </w:tcPr>
          <w:p w14:paraId="2C3A55ED">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方正仿宋" w:eastAsia="仿宋_GB2312" w:cs="方正仿宋"/>
                <w:color w:val="000000"/>
                <w:kern w:val="0"/>
                <w:sz w:val="28"/>
                <w:szCs w:val="28"/>
              </w:rPr>
              <w:t>21</w:t>
            </w:r>
          </w:p>
        </w:tc>
      </w:tr>
      <w:tr w14:paraId="47A2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508D71D7">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2B4FCCB0">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439" w:type="dxa"/>
            <w:vMerge w:val="continue"/>
            <w:vAlign w:val="center"/>
          </w:tcPr>
          <w:p w14:paraId="4F300179">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701" w:type="dxa"/>
            <w:vAlign w:val="center"/>
          </w:tcPr>
          <w:p w14:paraId="2D7F60B8">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景德镇市</w:t>
            </w:r>
          </w:p>
        </w:tc>
        <w:tc>
          <w:tcPr>
            <w:tcW w:w="1789" w:type="dxa"/>
            <w:vAlign w:val="center"/>
          </w:tcPr>
          <w:p w14:paraId="4B48E102">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4</w:t>
            </w:r>
          </w:p>
        </w:tc>
        <w:tc>
          <w:tcPr>
            <w:tcW w:w="1883" w:type="dxa"/>
            <w:vMerge w:val="continue"/>
            <w:vAlign w:val="center"/>
          </w:tcPr>
          <w:p w14:paraId="19276A86">
            <w:pPr>
              <w:widowControl/>
              <w:spacing w:line="360" w:lineRule="exact"/>
              <w:jc w:val="center"/>
              <w:textAlignment w:val="center"/>
              <w:rPr>
                <w:rFonts w:ascii="仿宋_GB2312" w:hAnsi="仿宋_GB2312" w:eastAsia="仿宋_GB2312" w:cs="仿宋_GB2312"/>
                <w:snapToGrid w:val="0"/>
                <w:kern w:val="0"/>
                <w:sz w:val="28"/>
                <w:szCs w:val="28"/>
              </w:rPr>
            </w:pPr>
          </w:p>
        </w:tc>
      </w:tr>
      <w:tr w14:paraId="3475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3DAC6796">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p>
        </w:tc>
        <w:tc>
          <w:tcPr>
            <w:tcW w:w="1254" w:type="dxa"/>
            <w:vMerge w:val="continue"/>
            <w:vAlign w:val="center"/>
          </w:tcPr>
          <w:p w14:paraId="1FB228DD">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439" w:type="dxa"/>
            <w:vMerge w:val="continue"/>
            <w:vAlign w:val="center"/>
          </w:tcPr>
          <w:p w14:paraId="7ACE8E05">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701" w:type="dxa"/>
            <w:vAlign w:val="center"/>
          </w:tcPr>
          <w:p w14:paraId="75FDC22F">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抚州市</w:t>
            </w:r>
          </w:p>
        </w:tc>
        <w:tc>
          <w:tcPr>
            <w:tcW w:w="1789" w:type="dxa"/>
            <w:vAlign w:val="center"/>
          </w:tcPr>
          <w:p w14:paraId="4A81B4A0">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10</w:t>
            </w:r>
          </w:p>
        </w:tc>
        <w:tc>
          <w:tcPr>
            <w:tcW w:w="1883" w:type="dxa"/>
            <w:vMerge w:val="continue"/>
            <w:vAlign w:val="center"/>
          </w:tcPr>
          <w:p w14:paraId="68B54A4B">
            <w:pPr>
              <w:spacing w:line="360" w:lineRule="exact"/>
              <w:jc w:val="center"/>
              <w:rPr>
                <w:rFonts w:ascii="仿宋_GB2312" w:hAnsi="仿宋_GB2312" w:eastAsia="仿宋_GB2312" w:cs="仿宋_GB2312"/>
                <w:snapToGrid w:val="0"/>
                <w:kern w:val="0"/>
                <w:sz w:val="28"/>
                <w:szCs w:val="28"/>
              </w:rPr>
            </w:pPr>
          </w:p>
        </w:tc>
      </w:tr>
      <w:tr w14:paraId="659B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restart"/>
            <w:vAlign w:val="center"/>
          </w:tcPr>
          <w:p w14:paraId="2025FA5E">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lang w:eastAsia="en-US"/>
              </w:rPr>
            </w:pPr>
            <w:r>
              <w:rPr>
                <w:rFonts w:hint="eastAsia" w:ascii="仿宋_GB2312" w:hAnsi="仿宋_GB2312" w:eastAsia="仿宋_GB2312" w:cs="仿宋_GB2312"/>
                <w:snapToGrid w:val="0"/>
                <w:kern w:val="0"/>
                <w:sz w:val="28"/>
                <w:szCs w:val="28"/>
                <w:lang w:eastAsia="en-US"/>
              </w:rPr>
              <w:t>9</w:t>
            </w:r>
          </w:p>
        </w:tc>
        <w:tc>
          <w:tcPr>
            <w:tcW w:w="1254" w:type="dxa"/>
            <w:vMerge w:val="restart"/>
            <w:vAlign w:val="center"/>
          </w:tcPr>
          <w:p w14:paraId="470A3929">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地理</w:t>
            </w:r>
          </w:p>
        </w:tc>
        <w:tc>
          <w:tcPr>
            <w:tcW w:w="1439" w:type="dxa"/>
            <w:vMerge w:val="restart"/>
            <w:vAlign w:val="center"/>
          </w:tcPr>
          <w:p w14:paraId="128AECB6">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人教版</w:t>
            </w:r>
          </w:p>
        </w:tc>
        <w:tc>
          <w:tcPr>
            <w:tcW w:w="1701" w:type="dxa"/>
            <w:vAlign w:val="center"/>
          </w:tcPr>
          <w:p w14:paraId="0E7B06F0">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南昌市</w:t>
            </w:r>
          </w:p>
        </w:tc>
        <w:tc>
          <w:tcPr>
            <w:tcW w:w="1789" w:type="dxa"/>
            <w:vAlign w:val="center"/>
          </w:tcPr>
          <w:p w14:paraId="5F03490D">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8</w:t>
            </w:r>
          </w:p>
        </w:tc>
        <w:tc>
          <w:tcPr>
            <w:tcW w:w="1883" w:type="dxa"/>
            <w:vMerge w:val="restart"/>
            <w:vAlign w:val="center"/>
          </w:tcPr>
          <w:p w14:paraId="0426AAA9">
            <w:pPr>
              <w:widowControl/>
              <w:spacing w:line="360" w:lineRule="exact"/>
              <w:jc w:val="center"/>
              <w:textAlignment w:val="center"/>
              <w:rPr>
                <w:rFonts w:ascii="仿宋_GB2312" w:hAnsi="仿宋_GB2312" w:eastAsia="仿宋_GB2312" w:cs="仿宋_GB2312"/>
                <w:snapToGrid w:val="0"/>
                <w:kern w:val="0"/>
                <w:sz w:val="28"/>
                <w:szCs w:val="28"/>
              </w:rPr>
            </w:pPr>
            <w:r>
              <w:rPr>
                <w:rFonts w:hint="eastAsia" w:ascii="仿宋_GB2312" w:hAnsi="方正仿宋" w:eastAsia="仿宋_GB2312" w:cs="方正仿宋"/>
                <w:color w:val="000000"/>
                <w:kern w:val="0"/>
                <w:sz w:val="28"/>
                <w:szCs w:val="28"/>
              </w:rPr>
              <w:t>33</w:t>
            </w:r>
          </w:p>
        </w:tc>
      </w:tr>
      <w:tr w14:paraId="2A3B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40E0143E">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rPr>
            </w:pPr>
          </w:p>
        </w:tc>
        <w:tc>
          <w:tcPr>
            <w:tcW w:w="1254" w:type="dxa"/>
            <w:vMerge w:val="continue"/>
            <w:vAlign w:val="center"/>
          </w:tcPr>
          <w:p w14:paraId="6511512D">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rPr>
            </w:pPr>
          </w:p>
        </w:tc>
        <w:tc>
          <w:tcPr>
            <w:tcW w:w="1439" w:type="dxa"/>
            <w:vMerge w:val="continue"/>
            <w:vAlign w:val="center"/>
          </w:tcPr>
          <w:p w14:paraId="2E37ED7A">
            <w:pPr>
              <w:widowControl/>
              <w:spacing w:line="360" w:lineRule="exact"/>
              <w:jc w:val="center"/>
              <w:textAlignment w:val="center"/>
              <w:rPr>
                <w:rFonts w:ascii="仿宋_GB2312" w:hAnsi="仿宋_GB2312" w:eastAsia="仿宋_GB2312" w:cs="仿宋_GB2312"/>
                <w:snapToGrid w:val="0"/>
                <w:kern w:val="0"/>
                <w:sz w:val="28"/>
                <w:szCs w:val="28"/>
                <w:lang w:eastAsia="en-US"/>
              </w:rPr>
            </w:pPr>
          </w:p>
        </w:tc>
        <w:tc>
          <w:tcPr>
            <w:tcW w:w="1701" w:type="dxa"/>
            <w:vAlign w:val="center"/>
          </w:tcPr>
          <w:p w14:paraId="61EE8304">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 w:eastAsia="仿宋_GB2312" w:cs="仿宋"/>
                <w:color w:val="000000"/>
                <w:kern w:val="0"/>
                <w:sz w:val="28"/>
                <w:szCs w:val="28"/>
              </w:rPr>
              <w:t>上饶市</w:t>
            </w:r>
          </w:p>
        </w:tc>
        <w:tc>
          <w:tcPr>
            <w:tcW w:w="1789" w:type="dxa"/>
            <w:vAlign w:val="center"/>
          </w:tcPr>
          <w:p w14:paraId="7D118C2D">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9</w:t>
            </w:r>
          </w:p>
        </w:tc>
        <w:tc>
          <w:tcPr>
            <w:tcW w:w="1883" w:type="dxa"/>
            <w:vMerge w:val="continue"/>
            <w:vAlign w:val="center"/>
          </w:tcPr>
          <w:p w14:paraId="04487DE2">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rPr>
            </w:pPr>
          </w:p>
        </w:tc>
      </w:tr>
      <w:tr w14:paraId="5E31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166FCC3F">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rPr>
            </w:pPr>
          </w:p>
        </w:tc>
        <w:tc>
          <w:tcPr>
            <w:tcW w:w="1254" w:type="dxa"/>
            <w:vMerge w:val="continue"/>
            <w:vAlign w:val="center"/>
          </w:tcPr>
          <w:p w14:paraId="7E17E5E6">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rPr>
            </w:pPr>
          </w:p>
        </w:tc>
        <w:tc>
          <w:tcPr>
            <w:tcW w:w="1439" w:type="dxa"/>
            <w:vMerge w:val="restart"/>
            <w:vAlign w:val="center"/>
          </w:tcPr>
          <w:p w14:paraId="498C3887">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中图版</w:t>
            </w:r>
          </w:p>
        </w:tc>
        <w:tc>
          <w:tcPr>
            <w:tcW w:w="1701" w:type="dxa"/>
            <w:vAlign w:val="center"/>
          </w:tcPr>
          <w:p w14:paraId="391B0120">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宜春市</w:t>
            </w:r>
          </w:p>
        </w:tc>
        <w:tc>
          <w:tcPr>
            <w:tcW w:w="1789" w:type="dxa"/>
            <w:vAlign w:val="center"/>
          </w:tcPr>
          <w:p w14:paraId="047524BC">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8</w:t>
            </w:r>
          </w:p>
        </w:tc>
        <w:tc>
          <w:tcPr>
            <w:tcW w:w="1883" w:type="dxa"/>
            <w:vMerge w:val="continue"/>
            <w:vAlign w:val="center"/>
          </w:tcPr>
          <w:p w14:paraId="2A378597">
            <w:pPr>
              <w:spacing w:line="360" w:lineRule="exact"/>
              <w:jc w:val="center"/>
              <w:rPr>
                <w:rFonts w:ascii="仿宋_GB2312" w:hAnsi="仿宋_GB2312" w:eastAsia="仿宋_GB2312" w:cs="仿宋_GB2312"/>
                <w:snapToGrid w:val="0"/>
                <w:kern w:val="0"/>
                <w:sz w:val="28"/>
                <w:szCs w:val="28"/>
              </w:rPr>
            </w:pPr>
          </w:p>
        </w:tc>
      </w:tr>
      <w:tr w14:paraId="5291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7" w:type="dxa"/>
            <w:vMerge w:val="continue"/>
            <w:vAlign w:val="center"/>
          </w:tcPr>
          <w:p w14:paraId="079C52D6">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rPr>
            </w:pPr>
          </w:p>
        </w:tc>
        <w:tc>
          <w:tcPr>
            <w:tcW w:w="1254" w:type="dxa"/>
            <w:vMerge w:val="continue"/>
            <w:vAlign w:val="center"/>
          </w:tcPr>
          <w:p w14:paraId="5B134E31">
            <w:pPr>
              <w:widowControl/>
              <w:overflowPunct w:val="0"/>
              <w:autoSpaceDE w:val="0"/>
              <w:autoSpaceDN w:val="0"/>
              <w:adjustRightInd w:val="0"/>
              <w:snapToGrid w:val="0"/>
              <w:spacing w:line="360" w:lineRule="exact"/>
              <w:jc w:val="center"/>
              <w:textAlignment w:val="baseline"/>
              <w:rPr>
                <w:rFonts w:ascii="仿宋_GB2312" w:hAnsi="仿宋_GB2312" w:eastAsia="仿宋_GB2312" w:cs="仿宋_GB2312"/>
                <w:snapToGrid w:val="0"/>
                <w:kern w:val="0"/>
                <w:sz w:val="28"/>
                <w:szCs w:val="28"/>
              </w:rPr>
            </w:pPr>
          </w:p>
        </w:tc>
        <w:tc>
          <w:tcPr>
            <w:tcW w:w="1439" w:type="dxa"/>
            <w:vMerge w:val="continue"/>
            <w:vAlign w:val="center"/>
          </w:tcPr>
          <w:p w14:paraId="7D7EDF5F">
            <w:pPr>
              <w:widowControl/>
              <w:spacing w:line="360" w:lineRule="exact"/>
              <w:jc w:val="center"/>
              <w:textAlignment w:val="center"/>
              <w:rPr>
                <w:rFonts w:ascii="仿宋_GB2312" w:hAnsi="仿宋_GB2312" w:eastAsia="仿宋_GB2312" w:cs="仿宋_GB2312"/>
                <w:color w:val="000000"/>
                <w:kern w:val="0"/>
                <w:sz w:val="28"/>
                <w:szCs w:val="28"/>
              </w:rPr>
            </w:pPr>
          </w:p>
        </w:tc>
        <w:tc>
          <w:tcPr>
            <w:tcW w:w="1701" w:type="dxa"/>
            <w:vAlign w:val="center"/>
          </w:tcPr>
          <w:p w14:paraId="06DC5C3D">
            <w:pPr>
              <w:widowControl/>
              <w:spacing w:line="360" w:lineRule="exact"/>
              <w:jc w:val="center"/>
              <w:textAlignment w:val="center"/>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吉安市</w:t>
            </w:r>
          </w:p>
        </w:tc>
        <w:tc>
          <w:tcPr>
            <w:tcW w:w="1789" w:type="dxa"/>
            <w:vAlign w:val="center"/>
          </w:tcPr>
          <w:p w14:paraId="3B3D4D04">
            <w:pPr>
              <w:widowControl/>
              <w:spacing w:line="36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 w:eastAsia="仿宋_GB2312" w:cs="仿宋"/>
                <w:color w:val="000000" w:themeColor="text1"/>
                <w:kern w:val="0"/>
                <w:sz w:val="28"/>
                <w:szCs w:val="28"/>
              </w:rPr>
              <w:t>8</w:t>
            </w:r>
          </w:p>
        </w:tc>
        <w:tc>
          <w:tcPr>
            <w:tcW w:w="1883" w:type="dxa"/>
            <w:vMerge w:val="continue"/>
            <w:vAlign w:val="center"/>
          </w:tcPr>
          <w:p w14:paraId="17CA3F60">
            <w:pPr>
              <w:widowControl/>
              <w:spacing w:line="360" w:lineRule="exact"/>
              <w:jc w:val="center"/>
              <w:textAlignment w:val="center"/>
              <w:rPr>
                <w:rFonts w:ascii="仿宋_GB2312" w:hAnsi="仿宋_GB2312" w:eastAsia="仿宋_GB2312" w:cs="仿宋_GB2312"/>
                <w:snapToGrid w:val="0"/>
                <w:kern w:val="0"/>
                <w:sz w:val="28"/>
                <w:szCs w:val="28"/>
              </w:rPr>
            </w:pPr>
          </w:p>
        </w:tc>
      </w:tr>
    </w:tbl>
    <w:p w14:paraId="65F656F3">
      <w:pPr>
        <w:overflowPunct w:val="0"/>
        <w:autoSpaceDE w:val="0"/>
        <w:autoSpaceDN w:val="0"/>
        <w:adjustRightInd w:val="0"/>
        <w:snapToGrid w:val="0"/>
        <w:jc w:val="left"/>
        <w:textAlignment w:val="baseline"/>
        <w:rPr>
          <w:rFonts w:ascii="Arial" w:hAnsi="Arial" w:cs="Arial"/>
          <w:snapToGrid w:val="0"/>
          <w:kern w:val="0"/>
          <w:szCs w:val="21"/>
        </w:rPr>
        <w:sectPr>
          <w:headerReference r:id="rId7" w:type="default"/>
          <w:footerReference r:id="rId9" w:type="default"/>
          <w:headerReference r:id="rId8" w:type="even"/>
          <w:footerReference r:id="rId10" w:type="even"/>
          <w:pgSz w:w="11907" w:h="16839"/>
          <w:pgMar w:top="2155" w:right="1435" w:bottom="1588" w:left="1435" w:header="850" w:footer="1588" w:gutter="0"/>
          <w:cols w:space="720" w:num="1"/>
          <w:docGrid w:linePitch="286" w:charSpace="0"/>
        </w:sectPr>
      </w:pPr>
    </w:p>
    <w:p w14:paraId="28D62AAC">
      <w:pPr>
        <w:overflowPunct w:val="0"/>
        <w:autoSpaceDE w:val="0"/>
        <w:autoSpaceDN w:val="0"/>
        <w:adjustRightInd w:val="0"/>
        <w:snapToGrid w:val="0"/>
        <w:spacing w:line="585" w:lineRule="exact"/>
        <w:jc w:val="left"/>
        <w:textAlignment w:val="baseline"/>
        <w:rPr>
          <w:rFonts w:ascii="仿宋" w:hAnsi="仿宋" w:eastAsia="黑体" w:cs="Calibri"/>
          <w:sz w:val="30"/>
          <w:szCs w:val="30"/>
        </w:rPr>
      </w:pPr>
      <w:r>
        <w:rPr>
          <w:szCs w:val="22"/>
        </w:rPr>
        <w:pict>
          <v:rect id="_x0000_s1031" o:spid="_x0000_s1031" o:spt="1" style="position:absolute;left:0pt;margin-left:316.8pt;margin-top:-1.15pt;height:23.4pt;width:135pt;z-index:251659264;mso-width-relative:page;mso-height-relative:page;" coordsize="21600,21600" o:gfxdata="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5i3I9cAAAAJAQAADwAAAAAAAAABACAAAAAiAAAA&#10;ZHJzL2Rvd25yZXYueG1sUEsBAhQAFAAAAAgAh07iQNRc9R8IAgAANwQAAA4AAAAAAAAAAQAgAAAA&#10;JgEAAGRycy9lMm9Eb2MueG1sUEsFBgAAAAAGAAYAWQEAAKAFAAAAAA==&#10;">
            <v:path/>
            <v:fill focussize="0,0"/>
            <v:stroke/>
            <v:imagedata o:title=""/>
            <o:lock v:ext="edit"/>
            <v:textbox>
              <w:txbxContent>
                <w:p w14:paraId="20F76F04">
                  <w:pPr>
                    <w:rPr>
                      <w:rFonts w:eastAsia="楷体_GB2312"/>
                      <w:sz w:val="24"/>
                      <w:szCs w:val="22"/>
                    </w:rPr>
                  </w:pPr>
                  <w:r>
                    <w:rPr>
                      <w:rFonts w:hint="eastAsia" w:eastAsia="楷体_GB2312"/>
                      <w:sz w:val="24"/>
                      <w:szCs w:val="22"/>
                    </w:rPr>
                    <w:t>课题编号：</w:t>
                  </w:r>
                </w:p>
              </w:txbxContent>
            </v:textbox>
          </v:rect>
        </w:pict>
      </w:r>
      <w:r>
        <w:rPr>
          <w:rFonts w:ascii="黑体" w:hAnsi="黑体" w:eastAsia="黑体" w:cs="黑体"/>
          <w:snapToGrid w:val="0"/>
          <w:kern w:val="0"/>
          <w:sz w:val="32"/>
          <w:szCs w:val="32"/>
        </w:rPr>
        <w:t>附件</w:t>
      </w:r>
      <w:r>
        <w:rPr>
          <w:rFonts w:hint="eastAsia" w:ascii="黑体" w:hAnsi="黑体" w:eastAsia="黑体" w:cs="黑体"/>
          <w:snapToGrid w:val="0"/>
          <w:kern w:val="0"/>
          <w:sz w:val="32"/>
          <w:szCs w:val="32"/>
        </w:rPr>
        <w:t>7</w:t>
      </w:r>
    </w:p>
    <w:p w14:paraId="0D2B30EC">
      <w:pPr>
        <w:rPr>
          <w:rFonts w:ascii="仿宋" w:hAnsi="仿宋" w:eastAsia="仿宋" w:cs="Calibri"/>
          <w:sz w:val="30"/>
          <w:szCs w:val="30"/>
        </w:rPr>
      </w:pPr>
    </w:p>
    <w:p w14:paraId="59CF59FC">
      <w:pPr>
        <w:rPr>
          <w:rFonts w:ascii="仿宋" w:hAnsi="仿宋" w:eastAsia="仿宋" w:cs="Calibri"/>
          <w:sz w:val="30"/>
          <w:szCs w:val="30"/>
        </w:rPr>
      </w:pPr>
    </w:p>
    <w:p w14:paraId="4D3A572E">
      <w:pPr>
        <w:jc w:val="center"/>
        <w:rPr>
          <w:rFonts w:eastAsia="华文中宋" w:cs="Calibri"/>
          <w:b/>
          <w:sz w:val="52"/>
          <w:szCs w:val="21"/>
        </w:rPr>
      </w:pPr>
      <w:r>
        <w:rPr>
          <w:rFonts w:hint="eastAsia" w:eastAsia="华文中宋" w:cs="Calibri"/>
          <w:b/>
          <w:sz w:val="52"/>
          <w:szCs w:val="21"/>
        </w:rPr>
        <w:t>江西省基础教育研究课题</w:t>
      </w:r>
    </w:p>
    <w:p w14:paraId="682FCA60">
      <w:pPr>
        <w:jc w:val="center"/>
        <w:rPr>
          <w:rFonts w:eastAsia="华文中宋" w:cs="Calibri"/>
          <w:b/>
          <w:sz w:val="52"/>
          <w:szCs w:val="21"/>
        </w:rPr>
      </w:pPr>
      <w:r>
        <w:rPr>
          <w:rFonts w:hint="eastAsia" w:eastAsia="华文中宋" w:cs="Calibri"/>
          <w:b/>
          <w:sz w:val="52"/>
          <w:szCs w:val="21"/>
        </w:rPr>
        <w:t>申</w:t>
      </w:r>
      <w:r>
        <w:rPr>
          <w:rFonts w:eastAsia="华文中宋" w:cs="Calibri"/>
          <w:b/>
          <w:sz w:val="52"/>
          <w:szCs w:val="21"/>
        </w:rPr>
        <w:t xml:space="preserve">  </w:t>
      </w:r>
      <w:r>
        <w:rPr>
          <w:rFonts w:hint="eastAsia" w:eastAsia="华文中宋" w:cs="Calibri"/>
          <w:b/>
          <w:sz w:val="52"/>
          <w:szCs w:val="21"/>
        </w:rPr>
        <w:t>报</w:t>
      </w:r>
      <w:r>
        <w:rPr>
          <w:rFonts w:eastAsia="华文中宋" w:cs="Calibri"/>
          <w:b/>
          <w:sz w:val="52"/>
          <w:szCs w:val="21"/>
        </w:rPr>
        <w:t xml:space="preserve">  </w:t>
      </w:r>
      <w:r>
        <w:rPr>
          <w:rFonts w:hint="eastAsia" w:eastAsia="华文中宋" w:cs="Calibri"/>
          <w:b/>
          <w:sz w:val="52"/>
          <w:szCs w:val="21"/>
        </w:rPr>
        <w:t>书</w:t>
      </w:r>
    </w:p>
    <w:p w14:paraId="48C4295E">
      <w:pPr>
        <w:jc w:val="center"/>
        <w:rPr>
          <w:rFonts w:eastAsia="华文中宋" w:cs="Calibri"/>
          <w:b/>
          <w:sz w:val="52"/>
          <w:szCs w:val="21"/>
        </w:rPr>
      </w:pPr>
    </w:p>
    <w:p w14:paraId="5D55B6C6">
      <w:pPr>
        <w:jc w:val="center"/>
        <w:rPr>
          <w:rFonts w:eastAsia="华文中宋" w:cs="Calibri"/>
          <w:b/>
          <w:sz w:val="52"/>
          <w:szCs w:val="21"/>
        </w:rPr>
      </w:pPr>
    </w:p>
    <w:p w14:paraId="09A6CC50">
      <w:pPr>
        <w:jc w:val="center"/>
        <w:rPr>
          <w:rFonts w:eastAsia="华文中宋" w:cs="Calibri"/>
          <w:b/>
          <w:sz w:val="52"/>
          <w:szCs w:val="21"/>
        </w:rPr>
      </w:pPr>
    </w:p>
    <w:p w14:paraId="0AB9BCC2">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课题名称</w:t>
      </w:r>
      <w:r>
        <w:rPr>
          <w:rFonts w:hint="eastAsia" w:eastAsia="楷体_GB2312" w:cs="Calibri"/>
          <w:sz w:val="32"/>
          <w:szCs w:val="21"/>
        </w:rPr>
        <w:tab/>
      </w:r>
    </w:p>
    <w:p w14:paraId="0A89E720">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学科分类</w:t>
      </w:r>
      <w:r>
        <w:rPr>
          <w:rFonts w:hint="eastAsia" w:eastAsia="楷体_GB2312" w:cs="Calibri"/>
          <w:sz w:val="32"/>
          <w:szCs w:val="21"/>
        </w:rPr>
        <w:tab/>
      </w:r>
    </w:p>
    <w:p w14:paraId="03F97D1B">
      <w:pPr>
        <w:tabs>
          <w:tab w:val="right" w:leader="underscore" w:pos="7560"/>
        </w:tabs>
        <w:spacing w:line="600" w:lineRule="exact"/>
        <w:ind w:firstLine="1280" w:firstLineChars="400"/>
        <w:rPr>
          <w:rFonts w:eastAsia="楷体_GB2312" w:cs="Calibri"/>
          <w:sz w:val="32"/>
          <w:szCs w:val="21"/>
        </w:rPr>
      </w:pPr>
      <w:r>
        <w:rPr>
          <w:rFonts w:hint="eastAsia" w:eastAsia="楷体_GB2312" w:cs="Calibri"/>
          <w:sz w:val="32"/>
          <w:szCs w:val="21"/>
        </w:rPr>
        <w:t>课题类别</w:t>
      </w:r>
      <w:r>
        <w:rPr>
          <w:rFonts w:hint="eastAsia" w:eastAsia="楷体_GB2312" w:cs="Calibri"/>
          <w:sz w:val="32"/>
          <w:szCs w:val="21"/>
        </w:rPr>
        <w:tab/>
      </w:r>
    </w:p>
    <w:p w14:paraId="5505C675">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课题负责人</w:t>
      </w:r>
      <w:r>
        <w:rPr>
          <w:rFonts w:hint="eastAsia" w:eastAsia="楷体_GB2312" w:cs="Calibri"/>
          <w:sz w:val="32"/>
          <w:szCs w:val="21"/>
        </w:rPr>
        <w:tab/>
      </w:r>
    </w:p>
    <w:p w14:paraId="0CFC15B3">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负责人所在单位（盖章）</w:t>
      </w:r>
      <w:r>
        <w:rPr>
          <w:rFonts w:hint="eastAsia" w:eastAsia="楷体_GB2312" w:cs="Calibri"/>
          <w:sz w:val="32"/>
          <w:szCs w:val="21"/>
        </w:rPr>
        <w:tab/>
      </w:r>
    </w:p>
    <w:p w14:paraId="6DC36164">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研究起讫时期</w:t>
      </w:r>
      <w:r>
        <w:rPr>
          <w:rFonts w:hint="eastAsia" w:eastAsia="楷体_GB2312" w:cs="Calibri"/>
          <w:sz w:val="32"/>
          <w:szCs w:val="21"/>
        </w:rPr>
        <w:tab/>
      </w:r>
    </w:p>
    <w:p w14:paraId="4E558159">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联系电话（区号）</w:t>
      </w:r>
      <w:r>
        <w:rPr>
          <w:rFonts w:hint="eastAsia" w:eastAsia="楷体_GB2312" w:cs="Calibri"/>
          <w:sz w:val="32"/>
          <w:szCs w:val="21"/>
        </w:rPr>
        <w:tab/>
      </w:r>
    </w:p>
    <w:p w14:paraId="60A53FE7">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邮政编码</w:t>
      </w:r>
      <w:r>
        <w:rPr>
          <w:rFonts w:hint="eastAsia" w:eastAsia="楷体_GB2312" w:cs="Calibri"/>
          <w:sz w:val="32"/>
          <w:szCs w:val="21"/>
        </w:rPr>
        <w:tab/>
      </w:r>
    </w:p>
    <w:p w14:paraId="1B18C6F3">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通讯地址</w:t>
      </w:r>
      <w:r>
        <w:rPr>
          <w:rFonts w:hint="eastAsia" w:eastAsia="楷体_GB2312" w:cs="Calibri"/>
          <w:sz w:val="32"/>
          <w:szCs w:val="21"/>
        </w:rPr>
        <w:tab/>
      </w:r>
    </w:p>
    <w:p w14:paraId="71ACDFB9">
      <w:pPr>
        <w:tabs>
          <w:tab w:val="right" w:leader="underscore" w:pos="7560"/>
        </w:tabs>
        <w:spacing w:line="600" w:lineRule="exact"/>
        <w:ind w:firstLine="1280" w:firstLineChars="400"/>
        <w:rPr>
          <w:rFonts w:eastAsia="楷体_GB2312" w:cs="Calibri"/>
          <w:sz w:val="32"/>
          <w:szCs w:val="21"/>
          <w:u w:val="single"/>
        </w:rPr>
      </w:pPr>
      <w:r>
        <w:rPr>
          <w:rFonts w:hint="eastAsia" w:eastAsia="楷体_GB2312" w:cs="Calibri"/>
          <w:sz w:val="32"/>
          <w:szCs w:val="21"/>
        </w:rPr>
        <w:t>电子信箱</w:t>
      </w:r>
      <w:r>
        <w:rPr>
          <w:rFonts w:hint="eastAsia" w:eastAsia="楷体_GB2312" w:cs="Calibri"/>
          <w:sz w:val="32"/>
          <w:szCs w:val="21"/>
        </w:rPr>
        <w:tab/>
      </w:r>
    </w:p>
    <w:p w14:paraId="608EFC80">
      <w:pPr>
        <w:spacing w:line="360" w:lineRule="exact"/>
        <w:ind w:firstLine="2249" w:firstLineChars="800"/>
        <w:rPr>
          <w:rFonts w:eastAsia="黑体" w:cs="Calibri"/>
          <w:b/>
          <w:sz w:val="28"/>
          <w:szCs w:val="21"/>
        </w:rPr>
      </w:pPr>
    </w:p>
    <w:p w14:paraId="19B9F5DA">
      <w:pPr>
        <w:spacing w:line="360" w:lineRule="exact"/>
        <w:jc w:val="center"/>
        <w:rPr>
          <w:rFonts w:eastAsia="黑体" w:cs="Calibri"/>
          <w:b/>
          <w:sz w:val="28"/>
          <w:szCs w:val="21"/>
        </w:rPr>
      </w:pPr>
    </w:p>
    <w:p w14:paraId="07CBF97E">
      <w:pPr>
        <w:spacing w:line="360" w:lineRule="exact"/>
        <w:rPr>
          <w:rFonts w:eastAsia="黑体" w:cs="Calibri"/>
          <w:b/>
          <w:sz w:val="28"/>
          <w:szCs w:val="21"/>
        </w:rPr>
      </w:pPr>
    </w:p>
    <w:p w14:paraId="5B67B7E9">
      <w:pPr>
        <w:widowControl/>
        <w:jc w:val="left"/>
        <w:rPr>
          <w:rFonts w:eastAsia="黑体" w:cs="Calibri"/>
          <w:sz w:val="24"/>
          <w:szCs w:val="21"/>
        </w:rPr>
      </w:pPr>
      <w:r>
        <w:rPr>
          <w:rFonts w:eastAsia="黑体" w:cs="Calibri"/>
          <w:sz w:val="24"/>
          <w:szCs w:val="21"/>
        </w:rPr>
        <w:br w:type="page"/>
      </w:r>
    </w:p>
    <w:p w14:paraId="4C33A8C2">
      <w:pPr>
        <w:spacing w:line="585" w:lineRule="exact"/>
        <w:ind w:firstLine="640" w:firstLineChars="200"/>
        <w:rPr>
          <w:rFonts w:eastAsia="黑体" w:cs="Calibri"/>
          <w:sz w:val="32"/>
          <w:szCs w:val="21"/>
        </w:rPr>
      </w:pPr>
      <w:r>
        <w:rPr>
          <w:rFonts w:hint="eastAsia" w:eastAsia="黑体" w:cs="Calibri"/>
          <w:sz w:val="32"/>
          <w:szCs w:val="21"/>
        </w:rPr>
        <w:t>一、基本情况</w:t>
      </w:r>
    </w:p>
    <w:tbl>
      <w:tblPr>
        <w:tblStyle w:val="8"/>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044"/>
        <w:gridCol w:w="50"/>
        <w:gridCol w:w="788"/>
        <w:gridCol w:w="456"/>
        <w:gridCol w:w="382"/>
        <w:gridCol w:w="354"/>
        <w:gridCol w:w="484"/>
        <w:gridCol w:w="236"/>
        <w:gridCol w:w="602"/>
        <w:gridCol w:w="118"/>
        <w:gridCol w:w="720"/>
        <w:gridCol w:w="720"/>
        <w:gridCol w:w="360"/>
        <w:gridCol w:w="822"/>
        <w:gridCol w:w="1168"/>
      </w:tblGrid>
      <w:tr w14:paraId="6A0B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754"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DD00874">
            <w:pPr>
              <w:jc w:val="center"/>
              <w:rPr>
                <w:rFonts w:ascii="仿宋_GB2312" w:hAnsi="宋体" w:eastAsia="仿宋_GB2312"/>
                <w:sz w:val="24"/>
                <w:szCs w:val="21"/>
              </w:rPr>
            </w:pPr>
            <w:r>
              <w:rPr>
                <w:rFonts w:hint="eastAsia" w:ascii="仿宋_GB2312" w:hAnsi="宋体" w:eastAsia="仿宋_GB2312"/>
                <w:sz w:val="24"/>
                <w:szCs w:val="21"/>
              </w:rPr>
              <w:t>课题名称</w:t>
            </w:r>
          </w:p>
        </w:tc>
        <w:tc>
          <w:tcPr>
            <w:tcW w:w="7210" w:type="dxa"/>
            <w:gridSpan w:val="13"/>
            <w:tcBorders>
              <w:top w:val="single" w:color="auto" w:sz="4" w:space="0"/>
              <w:left w:val="single" w:color="auto" w:sz="4" w:space="0"/>
              <w:bottom w:val="single" w:color="auto" w:sz="4" w:space="0"/>
              <w:right w:val="single" w:color="auto" w:sz="4" w:space="0"/>
              <w:tl2br w:val="nil"/>
              <w:tr2bl w:val="nil"/>
            </w:tcBorders>
            <w:vAlign w:val="center"/>
          </w:tcPr>
          <w:p w14:paraId="516C076D">
            <w:pPr>
              <w:jc w:val="left"/>
              <w:rPr>
                <w:rFonts w:ascii="仿宋_GB2312" w:hAnsi="宋体" w:eastAsia="仿宋_GB2312"/>
                <w:sz w:val="24"/>
                <w:szCs w:val="21"/>
              </w:rPr>
            </w:pPr>
          </w:p>
        </w:tc>
      </w:tr>
      <w:tr w14:paraId="3876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1754"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EB51EF2">
            <w:pPr>
              <w:jc w:val="center"/>
              <w:rPr>
                <w:rFonts w:ascii="仿宋_GB2312" w:hAnsi="宋体" w:eastAsia="仿宋_GB2312"/>
                <w:sz w:val="24"/>
                <w:szCs w:val="21"/>
              </w:rPr>
            </w:pPr>
            <w:r>
              <w:rPr>
                <w:rFonts w:hint="eastAsia" w:ascii="仿宋_GB2312" w:hAnsi="宋体" w:eastAsia="仿宋_GB2312"/>
                <w:sz w:val="24"/>
                <w:szCs w:val="21"/>
              </w:rPr>
              <w:t>负责人姓名</w:t>
            </w:r>
          </w:p>
        </w:tc>
        <w:tc>
          <w:tcPr>
            <w:tcW w:w="12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378A066">
            <w:pPr>
              <w:jc w:val="left"/>
              <w:rPr>
                <w:rFonts w:ascii="仿宋_GB2312" w:hAnsi="宋体" w:eastAsia="仿宋_GB2312"/>
                <w:sz w:val="24"/>
                <w:szCs w:val="21"/>
              </w:rPr>
            </w:pPr>
          </w:p>
        </w:tc>
        <w:tc>
          <w:tcPr>
            <w:tcW w:w="73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0C35DAE">
            <w:pPr>
              <w:jc w:val="left"/>
              <w:rPr>
                <w:rFonts w:ascii="仿宋_GB2312" w:hAnsi="宋体" w:eastAsia="仿宋_GB2312"/>
                <w:sz w:val="24"/>
                <w:szCs w:val="21"/>
              </w:rPr>
            </w:pPr>
            <w:r>
              <w:rPr>
                <w:rFonts w:hint="eastAsia" w:ascii="仿宋_GB2312" w:hAnsi="宋体" w:eastAsia="仿宋_GB2312"/>
                <w:sz w:val="24"/>
                <w:szCs w:val="21"/>
              </w:rPr>
              <w:t>性别</w:t>
            </w:r>
          </w:p>
        </w:tc>
        <w:tc>
          <w:tcPr>
            <w:tcW w:w="72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4FBD4DE">
            <w:pPr>
              <w:jc w:val="left"/>
              <w:rPr>
                <w:rFonts w:ascii="仿宋_GB2312" w:hAnsi="宋体" w:eastAsia="仿宋_GB2312"/>
                <w:sz w:val="24"/>
                <w:szCs w:val="21"/>
              </w:rPr>
            </w:pPr>
          </w:p>
        </w:tc>
        <w:tc>
          <w:tcPr>
            <w:tcW w:w="72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7C6C44C">
            <w:pPr>
              <w:jc w:val="left"/>
              <w:rPr>
                <w:rFonts w:ascii="仿宋_GB2312" w:hAnsi="宋体" w:eastAsia="仿宋_GB2312"/>
                <w:sz w:val="24"/>
                <w:szCs w:val="21"/>
              </w:rPr>
            </w:pPr>
            <w:r>
              <w:rPr>
                <w:rFonts w:hint="eastAsia" w:ascii="仿宋_GB2312" w:hAnsi="宋体" w:eastAsia="仿宋_GB2312"/>
                <w:sz w:val="24"/>
                <w:szCs w:val="21"/>
              </w:rPr>
              <w:t>民族</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3EB4FFD2">
            <w:pPr>
              <w:jc w:val="left"/>
              <w:rPr>
                <w:rFonts w:ascii="仿宋_GB2312" w:hAnsi="宋体" w:eastAsia="仿宋_GB2312"/>
                <w:sz w:val="24"/>
                <w:szCs w:val="21"/>
              </w:rPr>
            </w:pPr>
          </w:p>
        </w:tc>
        <w:tc>
          <w:tcPr>
            <w:tcW w:w="108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57A7D3B">
            <w:pPr>
              <w:ind w:firstLine="240" w:firstLineChars="100"/>
              <w:jc w:val="left"/>
              <w:rPr>
                <w:rFonts w:ascii="仿宋_GB2312" w:hAnsi="宋体" w:eastAsia="仿宋_GB2312"/>
                <w:sz w:val="24"/>
                <w:szCs w:val="21"/>
              </w:rPr>
            </w:pPr>
            <w:r>
              <w:rPr>
                <w:rFonts w:hint="eastAsia" w:ascii="仿宋_GB2312" w:hAnsi="宋体" w:eastAsia="仿宋_GB2312"/>
                <w:sz w:val="24"/>
                <w:szCs w:val="21"/>
              </w:rPr>
              <w:t>出生</w:t>
            </w:r>
          </w:p>
          <w:p w14:paraId="60B14A73">
            <w:pPr>
              <w:ind w:firstLine="240" w:firstLineChars="100"/>
              <w:jc w:val="left"/>
              <w:rPr>
                <w:rFonts w:ascii="仿宋_GB2312" w:hAnsi="宋体" w:eastAsia="仿宋_GB2312"/>
                <w:sz w:val="24"/>
                <w:szCs w:val="21"/>
              </w:rPr>
            </w:pPr>
            <w:r>
              <w:rPr>
                <w:rFonts w:hint="eastAsia" w:ascii="仿宋_GB2312" w:hAnsi="宋体" w:eastAsia="仿宋_GB2312"/>
                <w:sz w:val="24"/>
                <w:szCs w:val="21"/>
              </w:rPr>
              <w:t>年月</w:t>
            </w:r>
          </w:p>
        </w:tc>
        <w:tc>
          <w:tcPr>
            <w:tcW w:w="199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9B60D57">
            <w:pPr>
              <w:jc w:val="left"/>
              <w:rPr>
                <w:rFonts w:ascii="仿宋_GB2312" w:hAnsi="宋体" w:eastAsia="仿宋_GB2312"/>
                <w:sz w:val="24"/>
                <w:szCs w:val="21"/>
              </w:rPr>
            </w:pPr>
            <w:r>
              <w:rPr>
                <w:rFonts w:hint="eastAsia" w:ascii="仿宋_GB2312" w:hAnsi="宋体" w:eastAsia="仿宋_GB2312"/>
                <w:sz w:val="24"/>
                <w:szCs w:val="21"/>
              </w:rPr>
              <w:t xml:space="preserve">   年  月   日</w:t>
            </w:r>
          </w:p>
        </w:tc>
      </w:tr>
      <w:tr w14:paraId="4380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1754"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1A42D21">
            <w:pPr>
              <w:jc w:val="center"/>
              <w:rPr>
                <w:rFonts w:ascii="仿宋_GB2312" w:hAnsi="宋体" w:eastAsia="仿宋_GB2312"/>
                <w:color w:val="000000" w:themeColor="text1"/>
                <w:sz w:val="24"/>
                <w:szCs w:val="21"/>
              </w:rPr>
            </w:pPr>
            <w:r>
              <w:rPr>
                <w:rFonts w:hint="eastAsia" w:ascii="仿宋_GB2312" w:hAnsi="宋体" w:eastAsia="仿宋_GB2312"/>
                <w:color w:val="000000" w:themeColor="text1"/>
                <w:sz w:val="24"/>
                <w:szCs w:val="21"/>
              </w:rPr>
              <w:t>行政职务</w:t>
            </w:r>
          </w:p>
        </w:tc>
        <w:tc>
          <w:tcPr>
            <w:tcW w:w="12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12D8983">
            <w:pPr>
              <w:jc w:val="left"/>
              <w:rPr>
                <w:rFonts w:ascii="仿宋_GB2312" w:hAnsi="宋体" w:eastAsia="仿宋_GB2312"/>
                <w:color w:val="000000" w:themeColor="text1"/>
                <w:sz w:val="24"/>
                <w:szCs w:val="21"/>
              </w:rPr>
            </w:pPr>
          </w:p>
        </w:tc>
        <w:tc>
          <w:tcPr>
            <w:tcW w:w="73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973C2BA">
            <w:pPr>
              <w:jc w:val="left"/>
              <w:rPr>
                <w:rFonts w:ascii="仿宋_GB2312" w:hAnsi="宋体" w:eastAsia="仿宋_GB2312"/>
                <w:color w:val="000000" w:themeColor="text1"/>
                <w:sz w:val="24"/>
                <w:szCs w:val="21"/>
              </w:rPr>
            </w:pPr>
            <w:r>
              <w:rPr>
                <w:rFonts w:hint="eastAsia" w:ascii="仿宋_GB2312" w:hAnsi="宋体" w:eastAsia="仿宋_GB2312"/>
                <w:color w:val="000000" w:themeColor="text1"/>
                <w:sz w:val="24"/>
                <w:szCs w:val="21"/>
              </w:rPr>
              <w:t>专业职称</w:t>
            </w:r>
          </w:p>
        </w:tc>
        <w:tc>
          <w:tcPr>
            <w:tcW w:w="2160"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48B44D6C">
            <w:pPr>
              <w:jc w:val="left"/>
              <w:rPr>
                <w:rFonts w:ascii="仿宋_GB2312" w:hAnsi="宋体" w:eastAsia="仿宋_GB2312"/>
                <w:color w:val="000000" w:themeColor="text1"/>
                <w:sz w:val="24"/>
                <w:szCs w:val="21"/>
              </w:rPr>
            </w:pPr>
          </w:p>
        </w:tc>
        <w:tc>
          <w:tcPr>
            <w:tcW w:w="108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5C391FF">
            <w:pPr>
              <w:ind w:firstLine="240" w:firstLineChars="100"/>
              <w:jc w:val="left"/>
              <w:rPr>
                <w:rFonts w:ascii="仿宋_GB2312" w:hAnsi="宋体" w:eastAsia="仿宋_GB2312"/>
                <w:color w:val="000000" w:themeColor="text1"/>
                <w:sz w:val="24"/>
                <w:szCs w:val="21"/>
              </w:rPr>
            </w:pPr>
            <w:r>
              <w:rPr>
                <w:rFonts w:hint="eastAsia" w:ascii="仿宋_GB2312" w:hAnsi="宋体" w:eastAsia="仿宋_GB2312"/>
                <w:color w:val="000000" w:themeColor="text1"/>
                <w:sz w:val="24"/>
                <w:szCs w:val="21"/>
              </w:rPr>
              <w:t>研究</w:t>
            </w:r>
          </w:p>
          <w:p w14:paraId="1B371BBA">
            <w:pPr>
              <w:ind w:firstLine="240" w:firstLineChars="100"/>
              <w:jc w:val="left"/>
              <w:rPr>
                <w:rFonts w:ascii="仿宋_GB2312" w:hAnsi="宋体" w:eastAsia="仿宋_GB2312"/>
                <w:color w:val="000000" w:themeColor="text1"/>
                <w:sz w:val="24"/>
                <w:szCs w:val="21"/>
              </w:rPr>
            </w:pPr>
            <w:r>
              <w:rPr>
                <w:rFonts w:hint="eastAsia" w:ascii="仿宋_GB2312" w:hAnsi="宋体" w:eastAsia="仿宋_GB2312"/>
                <w:color w:val="000000" w:themeColor="text1"/>
                <w:sz w:val="24"/>
                <w:szCs w:val="21"/>
              </w:rPr>
              <w:t>专长</w:t>
            </w:r>
          </w:p>
        </w:tc>
        <w:tc>
          <w:tcPr>
            <w:tcW w:w="199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44BE702">
            <w:pPr>
              <w:jc w:val="left"/>
              <w:rPr>
                <w:rFonts w:ascii="仿宋_GB2312" w:hAnsi="宋体" w:eastAsia="仿宋_GB2312"/>
                <w:color w:val="000000" w:themeColor="text1"/>
                <w:sz w:val="24"/>
                <w:szCs w:val="21"/>
              </w:rPr>
            </w:pPr>
          </w:p>
        </w:tc>
      </w:tr>
      <w:tr w14:paraId="7AAE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754"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2989AB80">
            <w:pPr>
              <w:jc w:val="center"/>
              <w:rPr>
                <w:rFonts w:ascii="仿宋_GB2312" w:hAnsi="宋体" w:eastAsia="仿宋_GB2312"/>
                <w:color w:val="000000" w:themeColor="text1"/>
                <w:sz w:val="24"/>
                <w:szCs w:val="21"/>
              </w:rPr>
            </w:pPr>
            <w:r>
              <w:rPr>
                <w:rFonts w:hint="eastAsia" w:ascii="仿宋_GB2312" w:hAnsi="宋体" w:eastAsia="仿宋_GB2312"/>
                <w:color w:val="000000" w:themeColor="text1"/>
                <w:sz w:val="24"/>
                <w:szCs w:val="21"/>
              </w:rPr>
              <w:t>学历</w:t>
            </w:r>
          </w:p>
        </w:tc>
        <w:tc>
          <w:tcPr>
            <w:tcW w:w="7210" w:type="dxa"/>
            <w:gridSpan w:val="13"/>
            <w:tcBorders>
              <w:top w:val="single" w:color="auto" w:sz="4" w:space="0"/>
              <w:left w:val="single" w:color="auto" w:sz="4" w:space="0"/>
              <w:bottom w:val="single" w:color="auto" w:sz="4" w:space="0"/>
              <w:right w:val="single" w:color="auto" w:sz="4" w:space="0"/>
              <w:tl2br w:val="nil"/>
              <w:tr2bl w:val="nil"/>
            </w:tcBorders>
            <w:vAlign w:val="center"/>
          </w:tcPr>
          <w:p w14:paraId="05ACE9B2">
            <w:pPr>
              <w:jc w:val="left"/>
              <w:rPr>
                <w:rFonts w:ascii="仿宋_GB2312" w:hAnsi="宋体" w:eastAsia="仿宋_GB2312"/>
                <w:color w:val="000000" w:themeColor="text1"/>
                <w:sz w:val="24"/>
                <w:szCs w:val="21"/>
              </w:rPr>
            </w:pPr>
          </w:p>
        </w:tc>
      </w:tr>
      <w:tr w14:paraId="0B38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66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CA9E58F">
            <w:pPr>
              <w:jc w:val="center"/>
              <w:rPr>
                <w:rFonts w:ascii="仿宋_GB2312" w:hAnsi="宋体" w:eastAsia="仿宋_GB2312"/>
                <w:sz w:val="24"/>
                <w:szCs w:val="21"/>
              </w:rPr>
            </w:pPr>
            <w:r>
              <w:rPr>
                <w:rFonts w:hint="eastAsia" w:ascii="仿宋_GB2312" w:hAnsi="宋体" w:eastAsia="仿宋_GB2312"/>
                <w:sz w:val="24"/>
                <w:szCs w:val="21"/>
              </w:rPr>
              <w:t>主</w:t>
            </w:r>
          </w:p>
          <w:p w14:paraId="768DF75E">
            <w:pPr>
              <w:jc w:val="center"/>
              <w:rPr>
                <w:rFonts w:ascii="仿宋_GB2312" w:hAnsi="宋体" w:eastAsia="仿宋_GB2312"/>
                <w:sz w:val="24"/>
                <w:szCs w:val="21"/>
              </w:rPr>
            </w:pPr>
            <w:r>
              <w:rPr>
                <w:rFonts w:hint="eastAsia" w:ascii="仿宋_GB2312" w:hAnsi="宋体" w:eastAsia="仿宋_GB2312"/>
                <w:sz w:val="24"/>
                <w:szCs w:val="21"/>
              </w:rPr>
              <w:t>要</w:t>
            </w:r>
          </w:p>
          <w:p w14:paraId="5FCA378E">
            <w:pPr>
              <w:jc w:val="center"/>
              <w:rPr>
                <w:rFonts w:ascii="仿宋_GB2312" w:hAnsi="宋体" w:eastAsia="仿宋_GB2312"/>
                <w:sz w:val="24"/>
                <w:szCs w:val="21"/>
              </w:rPr>
            </w:pPr>
            <w:r>
              <w:rPr>
                <w:rFonts w:hint="eastAsia" w:ascii="仿宋_GB2312" w:hAnsi="宋体" w:eastAsia="仿宋_GB2312"/>
                <w:sz w:val="24"/>
                <w:szCs w:val="21"/>
              </w:rPr>
              <w:t>承</w:t>
            </w:r>
          </w:p>
          <w:p w14:paraId="4479575A">
            <w:pPr>
              <w:jc w:val="center"/>
              <w:rPr>
                <w:rFonts w:ascii="仿宋_GB2312" w:hAnsi="宋体" w:eastAsia="仿宋_GB2312"/>
                <w:sz w:val="24"/>
                <w:szCs w:val="21"/>
              </w:rPr>
            </w:pPr>
            <w:r>
              <w:rPr>
                <w:rFonts w:hint="eastAsia" w:ascii="仿宋_GB2312" w:hAnsi="宋体" w:eastAsia="仿宋_GB2312"/>
                <w:sz w:val="24"/>
                <w:szCs w:val="21"/>
              </w:rPr>
              <w:t>担</w:t>
            </w:r>
          </w:p>
          <w:p w14:paraId="7B0E9172">
            <w:pPr>
              <w:jc w:val="center"/>
              <w:rPr>
                <w:rFonts w:ascii="仿宋_GB2312" w:hAnsi="宋体" w:eastAsia="仿宋_GB2312"/>
                <w:sz w:val="24"/>
                <w:szCs w:val="21"/>
              </w:rPr>
            </w:pPr>
            <w:r>
              <w:rPr>
                <w:rFonts w:hint="eastAsia" w:ascii="仿宋_GB2312" w:hAnsi="宋体" w:eastAsia="仿宋_GB2312"/>
                <w:sz w:val="24"/>
                <w:szCs w:val="21"/>
              </w:rPr>
              <w:t>研</w:t>
            </w:r>
          </w:p>
          <w:p w14:paraId="51B7B9F1">
            <w:pPr>
              <w:jc w:val="center"/>
              <w:rPr>
                <w:rFonts w:ascii="仿宋_GB2312" w:hAnsi="宋体" w:eastAsia="仿宋_GB2312"/>
                <w:sz w:val="24"/>
                <w:szCs w:val="21"/>
              </w:rPr>
            </w:pPr>
            <w:r>
              <w:rPr>
                <w:rFonts w:hint="eastAsia" w:ascii="仿宋_GB2312" w:hAnsi="宋体" w:eastAsia="仿宋_GB2312"/>
                <w:sz w:val="24"/>
                <w:szCs w:val="21"/>
              </w:rPr>
              <w:t>究</w:t>
            </w:r>
          </w:p>
          <w:p w14:paraId="61874F3C">
            <w:pPr>
              <w:jc w:val="center"/>
              <w:rPr>
                <w:rFonts w:ascii="仿宋_GB2312" w:hAnsi="宋体" w:eastAsia="仿宋_GB2312"/>
                <w:sz w:val="24"/>
                <w:szCs w:val="21"/>
              </w:rPr>
            </w:pPr>
            <w:r>
              <w:rPr>
                <w:rFonts w:hint="eastAsia" w:ascii="仿宋_GB2312" w:hAnsi="宋体" w:eastAsia="仿宋_GB2312"/>
                <w:sz w:val="24"/>
                <w:szCs w:val="21"/>
              </w:rPr>
              <w:t>任</w:t>
            </w:r>
          </w:p>
          <w:p w14:paraId="389FFEB4">
            <w:pPr>
              <w:jc w:val="center"/>
              <w:rPr>
                <w:rFonts w:ascii="仿宋_GB2312" w:hAnsi="宋体" w:eastAsia="仿宋_GB2312"/>
                <w:sz w:val="24"/>
                <w:szCs w:val="21"/>
              </w:rPr>
            </w:pPr>
            <w:r>
              <w:rPr>
                <w:rFonts w:hint="eastAsia" w:ascii="仿宋_GB2312" w:hAnsi="宋体" w:eastAsia="仿宋_GB2312"/>
                <w:sz w:val="24"/>
                <w:szCs w:val="21"/>
              </w:rPr>
              <w:t>务</w:t>
            </w:r>
          </w:p>
          <w:p w14:paraId="76B31CC8">
            <w:pPr>
              <w:jc w:val="center"/>
              <w:rPr>
                <w:rFonts w:ascii="仿宋_GB2312" w:hAnsi="宋体" w:eastAsia="仿宋_GB2312"/>
                <w:sz w:val="24"/>
                <w:szCs w:val="21"/>
              </w:rPr>
            </w:pPr>
            <w:r>
              <w:rPr>
                <w:rFonts w:hint="eastAsia" w:ascii="仿宋_GB2312" w:hAnsi="宋体" w:eastAsia="仿宋_GB2312"/>
                <w:sz w:val="24"/>
                <w:szCs w:val="21"/>
              </w:rPr>
              <w:t>人</w:t>
            </w:r>
          </w:p>
          <w:p w14:paraId="06C6D4E5">
            <w:pPr>
              <w:jc w:val="center"/>
              <w:rPr>
                <w:rFonts w:ascii="仿宋_GB2312" w:hAnsi="宋体" w:eastAsia="仿宋_GB2312"/>
                <w:sz w:val="24"/>
                <w:szCs w:val="21"/>
              </w:rPr>
            </w:pPr>
            <w:r>
              <w:rPr>
                <w:rFonts w:hint="eastAsia" w:ascii="仿宋_GB2312" w:hAnsi="宋体" w:eastAsia="仿宋_GB2312"/>
                <w:sz w:val="24"/>
                <w:szCs w:val="21"/>
              </w:rPr>
              <w:t>员</w:t>
            </w:r>
          </w:p>
        </w:tc>
        <w:tc>
          <w:tcPr>
            <w:tcW w:w="1882" w:type="dxa"/>
            <w:gridSpan w:val="3"/>
            <w:vMerge w:val="restart"/>
            <w:tcBorders>
              <w:top w:val="single" w:color="auto" w:sz="4" w:space="0"/>
              <w:left w:val="single" w:color="auto" w:sz="4" w:space="0"/>
              <w:bottom w:val="single" w:color="auto" w:sz="4" w:space="0"/>
              <w:right w:val="single" w:color="auto" w:sz="4" w:space="0"/>
              <w:tl2br w:val="nil"/>
              <w:tr2bl w:val="nil"/>
            </w:tcBorders>
            <w:vAlign w:val="center"/>
          </w:tcPr>
          <w:p w14:paraId="3D8464ED">
            <w:pPr>
              <w:jc w:val="center"/>
              <w:rPr>
                <w:rFonts w:ascii="仿宋_GB2312" w:hAnsi="宋体" w:eastAsia="仿宋_GB2312"/>
                <w:sz w:val="24"/>
                <w:szCs w:val="21"/>
              </w:rPr>
            </w:pPr>
            <w:r>
              <w:rPr>
                <w:rFonts w:hint="eastAsia" w:ascii="仿宋_GB2312" w:hAnsi="宋体" w:eastAsia="仿宋_GB2312"/>
                <w:sz w:val="24"/>
                <w:szCs w:val="21"/>
              </w:rPr>
              <w:t>课题总人数</w:t>
            </w:r>
          </w:p>
        </w:tc>
        <w:tc>
          <w:tcPr>
            <w:tcW w:w="16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4C0DB6DF">
            <w:pPr>
              <w:jc w:val="center"/>
              <w:rPr>
                <w:rFonts w:ascii="仿宋_GB2312" w:hAnsi="宋体" w:eastAsia="仿宋_GB2312"/>
                <w:sz w:val="24"/>
                <w:szCs w:val="21"/>
              </w:rPr>
            </w:pPr>
            <w:r>
              <w:rPr>
                <w:rFonts w:hint="eastAsia" w:ascii="仿宋_GB2312" w:hAnsi="宋体" w:eastAsia="仿宋_GB2312"/>
                <w:sz w:val="24"/>
                <w:szCs w:val="21"/>
              </w:rPr>
              <w:t>高级职称人数</w:t>
            </w:r>
          </w:p>
        </w:tc>
        <w:tc>
          <w:tcPr>
            <w:tcW w:w="2396"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673E449A">
            <w:pPr>
              <w:jc w:val="center"/>
              <w:rPr>
                <w:rFonts w:ascii="仿宋_GB2312" w:hAnsi="宋体" w:eastAsia="仿宋_GB2312"/>
                <w:sz w:val="24"/>
                <w:szCs w:val="21"/>
              </w:rPr>
            </w:pPr>
            <w:r>
              <w:rPr>
                <w:rFonts w:hint="eastAsia" w:ascii="仿宋_GB2312" w:hAnsi="宋体" w:eastAsia="仿宋_GB2312"/>
                <w:sz w:val="24"/>
                <w:szCs w:val="21"/>
              </w:rPr>
              <w:t>中级职称人数</w:t>
            </w:r>
          </w:p>
        </w:tc>
        <w:tc>
          <w:tcPr>
            <w:tcW w:w="2350"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506EBE4D">
            <w:pPr>
              <w:jc w:val="center"/>
              <w:rPr>
                <w:rFonts w:ascii="仿宋_GB2312" w:hAnsi="宋体" w:eastAsia="仿宋_GB2312"/>
                <w:sz w:val="24"/>
                <w:szCs w:val="21"/>
              </w:rPr>
            </w:pPr>
            <w:r>
              <w:rPr>
                <w:rFonts w:hint="eastAsia" w:ascii="仿宋_GB2312" w:hAnsi="宋体" w:eastAsia="仿宋_GB2312"/>
                <w:sz w:val="24"/>
                <w:szCs w:val="21"/>
              </w:rPr>
              <w:t>初级职称人数</w:t>
            </w:r>
          </w:p>
        </w:tc>
      </w:tr>
      <w:tr w14:paraId="4E66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778C390">
            <w:pPr>
              <w:jc w:val="left"/>
              <w:rPr>
                <w:rFonts w:ascii="仿宋_GB2312" w:hAnsi="宋体" w:eastAsia="仿宋_GB2312"/>
                <w:sz w:val="24"/>
                <w:szCs w:val="21"/>
              </w:rPr>
            </w:pPr>
          </w:p>
        </w:tc>
        <w:tc>
          <w:tcPr>
            <w:tcW w:w="1882" w:type="dxa"/>
            <w:gridSpan w:val="3"/>
            <w:vMerge w:val="continue"/>
            <w:tcBorders>
              <w:top w:val="single" w:color="auto" w:sz="4" w:space="0"/>
              <w:left w:val="single" w:color="auto" w:sz="4" w:space="0"/>
              <w:bottom w:val="single" w:color="auto" w:sz="4" w:space="0"/>
              <w:right w:val="single" w:color="auto" w:sz="4" w:space="0"/>
              <w:tl2br w:val="nil"/>
              <w:tr2bl w:val="nil"/>
            </w:tcBorders>
            <w:vAlign w:val="center"/>
          </w:tcPr>
          <w:p w14:paraId="4F4D219D">
            <w:pPr>
              <w:jc w:val="left"/>
              <w:rPr>
                <w:rFonts w:ascii="仿宋_GB2312" w:hAnsi="宋体" w:eastAsia="仿宋_GB2312"/>
                <w:sz w:val="24"/>
                <w:szCs w:val="21"/>
              </w:rPr>
            </w:pPr>
          </w:p>
        </w:tc>
        <w:tc>
          <w:tcPr>
            <w:tcW w:w="16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1778E035">
            <w:pPr>
              <w:jc w:val="left"/>
              <w:rPr>
                <w:rFonts w:ascii="仿宋_GB2312" w:hAnsi="宋体" w:eastAsia="仿宋_GB2312"/>
                <w:sz w:val="24"/>
                <w:szCs w:val="21"/>
              </w:rPr>
            </w:pPr>
          </w:p>
        </w:tc>
        <w:tc>
          <w:tcPr>
            <w:tcW w:w="2396"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727D8D5">
            <w:pPr>
              <w:jc w:val="left"/>
              <w:rPr>
                <w:rFonts w:ascii="仿宋_GB2312" w:hAnsi="宋体" w:eastAsia="仿宋_GB2312"/>
                <w:sz w:val="24"/>
                <w:szCs w:val="21"/>
              </w:rPr>
            </w:pPr>
          </w:p>
        </w:tc>
        <w:tc>
          <w:tcPr>
            <w:tcW w:w="2350"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2BDE6741">
            <w:pPr>
              <w:jc w:val="left"/>
              <w:rPr>
                <w:rFonts w:ascii="仿宋_GB2312" w:hAnsi="宋体" w:eastAsia="仿宋_GB2312"/>
                <w:sz w:val="24"/>
                <w:szCs w:val="21"/>
              </w:rPr>
            </w:pPr>
          </w:p>
        </w:tc>
      </w:tr>
      <w:tr w14:paraId="0E50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65D98B8">
            <w:pPr>
              <w:jc w:val="left"/>
              <w:rPr>
                <w:rFonts w:ascii="仿宋_GB2312" w:hAnsi="宋体" w:eastAsia="仿宋_GB2312"/>
                <w:sz w:val="24"/>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706A804E">
            <w:pPr>
              <w:jc w:val="center"/>
              <w:rPr>
                <w:rFonts w:ascii="仿宋_GB2312" w:hAnsi="宋体" w:eastAsia="仿宋_GB2312"/>
                <w:sz w:val="24"/>
                <w:szCs w:val="21"/>
              </w:rPr>
            </w:pPr>
            <w:r>
              <w:rPr>
                <w:rFonts w:hint="eastAsia" w:ascii="仿宋_GB2312" w:hAnsi="宋体" w:eastAsia="仿宋_GB2312"/>
                <w:sz w:val="24"/>
                <w:szCs w:val="21"/>
              </w:rPr>
              <w:t>姓名</w:t>
            </w: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43F556B">
            <w:pPr>
              <w:jc w:val="center"/>
              <w:rPr>
                <w:rFonts w:ascii="仿宋_GB2312" w:hAnsi="宋体" w:eastAsia="仿宋_GB2312"/>
                <w:sz w:val="24"/>
                <w:szCs w:val="21"/>
              </w:rPr>
            </w:pPr>
            <w:r>
              <w:rPr>
                <w:rFonts w:hint="eastAsia" w:ascii="仿宋_GB2312" w:hAnsi="宋体" w:eastAsia="仿宋_GB2312"/>
                <w:sz w:val="24"/>
                <w:szCs w:val="21"/>
              </w:rPr>
              <w:t>性别</w:t>
            </w: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DB5FAE9">
            <w:pPr>
              <w:jc w:val="center"/>
              <w:rPr>
                <w:rFonts w:ascii="仿宋_GB2312" w:hAnsi="宋体" w:eastAsia="仿宋_GB2312"/>
                <w:sz w:val="24"/>
                <w:szCs w:val="21"/>
              </w:rPr>
            </w:pPr>
            <w:r>
              <w:rPr>
                <w:rFonts w:hint="eastAsia" w:ascii="仿宋_GB2312" w:hAnsi="宋体" w:eastAsia="仿宋_GB2312"/>
                <w:sz w:val="24"/>
                <w:szCs w:val="21"/>
              </w:rPr>
              <w:t>年龄</w:t>
            </w: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C23E19D">
            <w:pPr>
              <w:jc w:val="center"/>
              <w:rPr>
                <w:rFonts w:ascii="仿宋_GB2312" w:hAnsi="宋体" w:eastAsia="仿宋_GB2312"/>
                <w:sz w:val="24"/>
                <w:szCs w:val="21"/>
              </w:rPr>
            </w:pPr>
            <w:r>
              <w:rPr>
                <w:rFonts w:hint="eastAsia" w:ascii="仿宋_GB2312" w:hAnsi="宋体" w:eastAsia="仿宋_GB2312"/>
                <w:sz w:val="24"/>
                <w:szCs w:val="21"/>
              </w:rPr>
              <w:t>学历</w:t>
            </w: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05ADC4B">
            <w:pPr>
              <w:jc w:val="center"/>
              <w:rPr>
                <w:rFonts w:ascii="仿宋_GB2312" w:hAnsi="宋体" w:eastAsia="仿宋_GB2312"/>
                <w:sz w:val="24"/>
                <w:szCs w:val="21"/>
              </w:rPr>
            </w:pPr>
            <w:r>
              <w:rPr>
                <w:rFonts w:hint="eastAsia" w:ascii="仿宋_GB2312" w:hAnsi="宋体" w:eastAsia="仿宋_GB2312"/>
                <w:sz w:val="24"/>
                <w:szCs w:val="21"/>
              </w:rPr>
              <w:t>专业</w:t>
            </w: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36FC22B">
            <w:pPr>
              <w:jc w:val="center"/>
              <w:rPr>
                <w:rFonts w:ascii="仿宋_GB2312" w:hAnsi="宋体" w:eastAsia="仿宋_GB2312"/>
                <w:sz w:val="24"/>
                <w:szCs w:val="21"/>
              </w:rPr>
            </w:pPr>
            <w:r>
              <w:rPr>
                <w:rFonts w:hint="eastAsia" w:ascii="仿宋_GB2312" w:hAnsi="宋体" w:eastAsia="仿宋_GB2312"/>
                <w:sz w:val="24"/>
                <w:szCs w:val="21"/>
              </w:rPr>
              <w:t>职称</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017CA175">
            <w:pPr>
              <w:jc w:val="center"/>
              <w:rPr>
                <w:rFonts w:ascii="仿宋_GB2312" w:hAnsi="宋体" w:eastAsia="仿宋_GB2312"/>
                <w:sz w:val="24"/>
                <w:szCs w:val="21"/>
              </w:rPr>
            </w:pPr>
            <w:r>
              <w:rPr>
                <w:rFonts w:hint="eastAsia" w:ascii="仿宋_GB2312" w:hAnsi="宋体" w:eastAsia="仿宋_GB2312"/>
                <w:sz w:val="24"/>
                <w:szCs w:val="21"/>
              </w:rPr>
              <w:t>职务</w:t>
            </w: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8438A8B">
            <w:pPr>
              <w:jc w:val="center"/>
              <w:rPr>
                <w:rFonts w:ascii="仿宋_GB2312" w:hAnsi="宋体" w:eastAsia="仿宋_GB2312"/>
                <w:sz w:val="24"/>
                <w:szCs w:val="21"/>
              </w:rPr>
            </w:pPr>
            <w:r>
              <w:rPr>
                <w:rFonts w:hint="eastAsia" w:ascii="仿宋_GB2312" w:hAnsi="宋体" w:eastAsia="仿宋_GB2312"/>
                <w:sz w:val="24"/>
                <w:szCs w:val="21"/>
              </w:rPr>
              <w:t>工作单位</w:t>
            </w: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01F9E0A0">
            <w:pPr>
              <w:ind w:firstLine="240" w:firstLineChars="100"/>
              <w:rPr>
                <w:rFonts w:ascii="仿宋_GB2312" w:hAnsi="宋体" w:eastAsia="仿宋_GB2312"/>
                <w:sz w:val="24"/>
                <w:szCs w:val="21"/>
              </w:rPr>
            </w:pPr>
            <w:r>
              <w:rPr>
                <w:rFonts w:hint="eastAsia" w:ascii="仿宋_GB2312" w:hAnsi="宋体" w:eastAsia="仿宋_GB2312"/>
                <w:sz w:val="24"/>
                <w:szCs w:val="21"/>
              </w:rPr>
              <w:t>具体</w:t>
            </w:r>
          </w:p>
          <w:p w14:paraId="74424B93">
            <w:pPr>
              <w:ind w:firstLine="240" w:firstLineChars="100"/>
              <w:rPr>
                <w:rFonts w:ascii="仿宋_GB2312" w:hAnsi="宋体" w:eastAsia="仿宋_GB2312"/>
                <w:sz w:val="24"/>
                <w:szCs w:val="21"/>
              </w:rPr>
            </w:pPr>
            <w:r>
              <w:rPr>
                <w:rFonts w:hint="eastAsia" w:ascii="仿宋_GB2312" w:hAnsi="宋体" w:eastAsia="仿宋_GB2312"/>
                <w:sz w:val="24"/>
                <w:szCs w:val="21"/>
              </w:rPr>
              <w:t>分工</w:t>
            </w:r>
          </w:p>
        </w:tc>
      </w:tr>
      <w:tr w14:paraId="5BA1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54FFF04">
            <w:pPr>
              <w:jc w:val="left"/>
              <w:rPr>
                <w:rFonts w:ascii="仿宋_GB2312" w:hAnsi="宋体" w:eastAsia="仿宋_GB2312"/>
                <w:sz w:val="24"/>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2FC87E04">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B969F7C">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16B06E4">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B54B1F8">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C708E9A">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02D7DD9">
            <w:pPr>
              <w:jc w:val="left"/>
              <w:rPr>
                <w:rFonts w:ascii="仿宋_GB2312" w:hAnsi="宋体" w:eastAsia="仿宋_GB2312"/>
                <w:sz w:val="24"/>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5D744F55">
            <w:pPr>
              <w:jc w:val="left"/>
              <w:rPr>
                <w:rFonts w:ascii="仿宋_GB2312" w:hAnsi="宋体" w:eastAsia="仿宋_GB2312"/>
                <w:sz w:val="24"/>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94F92E0">
            <w:pPr>
              <w:jc w:val="left"/>
              <w:rPr>
                <w:rFonts w:ascii="仿宋_GB2312" w:hAnsi="宋体" w:eastAsia="仿宋_GB2312"/>
                <w:sz w:val="24"/>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679208A2">
            <w:pPr>
              <w:jc w:val="left"/>
              <w:rPr>
                <w:rFonts w:ascii="仿宋_GB2312" w:hAnsi="宋体" w:eastAsia="仿宋_GB2312"/>
                <w:sz w:val="24"/>
                <w:szCs w:val="21"/>
              </w:rPr>
            </w:pPr>
          </w:p>
        </w:tc>
      </w:tr>
      <w:tr w14:paraId="282A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37286CA">
            <w:pPr>
              <w:jc w:val="left"/>
              <w:rPr>
                <w:rFonts w:ascii="仿宋_GB2312" w:hAnsi="宋体" w:eastAsia="仿宋_GB2312"/>
                <w:sz w:val="24"/>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44307528">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2873C66">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CF7C6CF">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3A9EFB9">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28C0F95">
            <w:pPr>
              <w:jc w:val="left"/>
              <w:rPr>
                <w:rFonts w:ascii="仿宋_GB2312" w:hAnsi="宋体" w:eastAsia="仿宋_GB2312"/>
                <w:sz w:val="24"/>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7474C03">
            <w:pPr>
              <w:jc w:val="left"/>
              <w:rPr>
                <w:rFonts w:ascii="仿宋_GB2312" w:hAnsi="宋体" w:eastAsia="仿宋_GB2312"/>
                <w:sz w:val="24"/>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510E998D">
            <w:pPr>
              <w:jc w:val="left"/>
              <w:rPr>
                <w:rFonts w:ascii="仿宋_GB2312" w:hAnsi="宋体" w:eastAsia="仿宋_GB2312"/>
                <w:sz w:val="24"/>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D09AD74">
            <w:pPr>
              <w:jc w:val="left"/>
              <w:rPr>
                <w:rFonts w:ascii="仿宋_GB2312" w:hAnsi="宋体" w:eastAsia="仿宋_GB2312"/>
                <w:sz w:val="24"/>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125E79C9">
            <w:pPr>
              <w:jc w:val="left"/>
              <w:rPr>
                <w:rFonts w:ascii="仿宋_GB2312" w:hAnsi="宋体" w:eastAsia="仿宋_GB2312"/>
                <w:sz w:val="24"/>
                <w:szCs w:val="21"/>
              </w:rPr>
            </w:pPr>
          </w:p>
        </w:tc>
      </w:tr>
      <w:tr w14:paraId="7C62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E7AF97B">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6CC203A7">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1BBE08A">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687D4CF">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9D5211C">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483538B">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5D1946F">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33E3F666">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0D14B1D">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012CBD35">
            <w:pPr>
              <w:jc w:val="center"/>
              <w:rPr>
                <w:rFonts w:ascii="仿宋_GB2312" w:eastAsia="仿宋_GB2312" w:cs="Calibri"/>
                <w:szCs w:val="21"/>
              </w:rPr>
            </w:pPr>
          </w:p>
        </w:tc>
      </w:tr>
      <w:tr w14:paraId="389E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46CE8F4">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18457D1F">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E08EB65">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788B6C7">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1E8A872">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FB92349">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AB52F5D">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1D4F6535">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C6A1C7C">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1B398D9E">
            <w:pPr>
              <w:jc w:val="center"/>
              <w:rPr>
                <w:rFonts w:ascii="仿宋_GB2312" w:eastAsia="仿宋_GB2312" w:cs="Calibri"/>
                <w:szCs w:val="21"/>
              </w:rPr>
            </w:pPr>
          </w:p>
        </w:tc>
      </w:tr>
      <w:tr w14:paraId="7D48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5F8A079">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3408662E">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8BA476C">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6F811B1">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6114AB3">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4FB7E69">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38286D7">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09E6DFCD">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EFF4371">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2101E4FA">
            <w:pPr>
              <w:jc w:val="center"/>
              <w:rPr>
                <w:rFonts w:ascii="仿宋_GB2312" w:eastAsia="仿宋_GB2312" w:cs="Calibri"/>
                <w:szCs w:val="21"/>
              </w:rPr>
            </w:pPr>
          </w:p>
        </w:tc>
      </w:tr>
      <w:tr w14:paraId="2587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FE380D4">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041BDA5D">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AFAE478">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7AFCAEC">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9967722">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7C6627B">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618A09F">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25385E79">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7459CF3">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7A6526BE">
            <w:pPr>
              <w:jc w:val="center"/>
              <w:rPr>
                <w:rFonts w:ascii="仿宋_GB2312" w:eastAsia="仿宋_GB2312" w:cs="Calibri"/>
                <w:szCs w:val="21"/>
              </w:rPr>
            </w:pPr>
          </w:p>
        </w:tc>
      </w:tr>
      <w:tr w14:paraId="6AF5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7117376">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36A31EAF">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7555799">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423328F">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A9574A6">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FE265E0">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B0908D7">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21D4FE91">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7AC9667">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4C997839">
            <w:pPr>
              <w:jc w:val="center"/>
              <w:rPr>
                <w:rFonts w:ascii="仿宋_GB2312" w:eastAsia="仿宋_GB2312" w:cs="Calibri"/>
                <w:szCs w:val="21"/>
              </w:rPr>
            </w:pPr>
          </w:p>
        </w:tc>
      </w:tr>
      <w:tr w14:paraId="7874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BE58DAA">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5D3AFE33">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2898708">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9C80308">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CBD6681">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5EBB82C">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53670F5">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41933FE1">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ECE4AB1">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493DD853">
            <w:pPr>
              <w:jc w:val="center"/>
              <w:rPr>
                <w:rFonts w:ascii="仿宋_GB2312" w:eastAsia="仿宋_GB2312" w:cs="Calibri"/>
                <w:szCs w:val="21"/>
              </w:rPr>
            </w:pPr>
          </w:p>
        </w:tc>
      </w:tr>
      <w:tr w14:paraId="4EA2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E9343C7">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66DD662F">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706EBCB">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ADEAF71">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EB430A2">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C98F630">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9765F92">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55A08B3E">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960F247">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32C7A182">
            <w:pPr>
              <w:jc w:val="center"/>
              <w:rPr>
                <w:rFonts w:ascii="仿宋_GB2312" w:eastAsia="仿宋_GB2312" w:cs="Calibri"/>
                <w:szCs w:val="21"/>
              </w:rPr>
            </w:pPr>
          </w:p>
        </w:tc>
      </w:tr>
      <w:tr w14:paraId="7BE2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E1C8D3D">
            <w:pPr>
              <w:jc w:val="center"/>
              <w:rPr>
                <w:rFonts w:ascii="仿宋_GB2312" w:eastAsia="仿宋_GB2312" w:cs="Calibri"/>
                <w:szCs w:val="21"/>
              </w:rPr>
            </w:pPr>
          </w:p>
        </w:tc>
        <w:tc>
          <w:tcPr>
            <w:tcW w:w="1044" w:type="dxa"/>
            <w:tcBorders>
              <w:top w:val="single" w:color="auto" w:sz="4" w:space="0"/>
              <w:left w:val="single" w:color="auto" w:sz="4" w:space="0"/>
              <w:bottom w:val="single" w:color="auto" w:sz="4" w:space="0"/>
              <w:right w:val="single" w:color="auto" w:sz="4" w:space="0"/>
              <w:tl2br w:val="nil"/>
              <w:tr2bl w:val="nil"/>
            </w:tcBorders>
            <w:vAlign w:val="center"/>
          </w:tcPr>
          <w:p w14:paraId="39624D6B">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05DDA42">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6C0668F">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490B0B0">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34AC96B">
            <w:pPr>
              <w:jc w:val="center"/>
              <w:rPr>
                <w:rFonts w:ascii="仿宋_GB2312" w:eastAsia="仿宋_GB2312" w:cs="Calibri"/>
                <w:szCs w:val="21"/>
              </w:rPr>
            </w:pPr>
          </w:p>
        </w:tc>
        <w:tc>
          <w:tcPr>
            <w:tcW w:w="83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D143A21">
            <w:pPr>
              <w:jc w:val="center"/>
              <w:rPr>
                <w:rFonts w:ascii="仿宋_GB2312" w:eastAsia="仿宋_GB2312" w:cs="Calibri"/>
                <w:szCs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14:paraId="58F4A870">
            <w:pPr>
              <w:jc w:val="center"/>
              <w:rPr>
                <w:rFonts w:ascii="仿宋_GB2312" w:eastAsia="仿宋_GB2312" w:cs="Calibri"/>
                <w:szCs w:val="21"/>
              </w:rPr>
            </w:pPr>
          </w:p>
        </w:tc>
        <w:tc>
          <w:tcPr>
            <w:tcW w:w="118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45F34D3">
            <w:pPr>
              <w:jc w:val="center"/>
              <w:rPr>
                <w:rFonts w:ascii="仿宋_GB2312" w:eastAsia="仿宋_GB2312" w:cs="Calibri"/>
                <w:szCs w:val="21"/>
              </w:rPr>
            </w:pPr>
          </w:p>
        </w:tc>
        <w:tc>
          <w:tcPr>
            <w:tcW w:w="1168" w:type="dxa"/>
            <w:tcBorders>
              <w:top w:val="single" w:color="auto" w:sz="4" w:space="0"/>
              <w:left w:val="single" w:color="auto" w:sz="4" w:space="0"/>
              <w:bottom w:val="single" w:color="auto" w:sz="4" w:space="0"/>
              <w:right w:val="single" w:color="auto" w:sz="4" w:space="0"/>
              <w:tl2br w:val="nil"/>
              <w:tr2bl w:val="nil"/>
            </w:tcBorders>
            <w:vAlign w:val="center"/>
          </w:tcPr>
          <w:p w14:paraId="01666A03">
            <w:pPr>
              <w:jc w:val="center"/>
              <w:rPr>
                <w:rFonts w:ascii="仿宋_GB2312" w:eastAsia="仿宋_GB2312" w:cs="Calibri"/>
                <w:szCs w:val="21"/>
              </w:rPr>
            </w:pPr>
          </w:p>
          <w:p w14:paraId="063F51BD">
            <w:pPr>
              <w:jc w:val="center"/>
              <w:rPr>
                <w:rFonts w:ascii="仿宋_GB2312" w:eastAsia="仿宋_GB2312" w:cs="Calibri"/>
                <w:szCs w:val="21"/>
              </w:rPr>
            </w:pPr>
          </w:p>
        </w:tc>
      </w:tr>
    </w:tbl>
    <w:p w14:paraId="33A5EBE5">
      <w:pPr>
        <w:numPr>
          <w:ilvl w:val="0"/>
          <w:numId w:val="1"/>
        </w:numPr>
        <w:spacing w:line="585" w:lineRule="exact"/>
        <w:ind w:firstLine="640" w:firstLineChars="200"/>
        <w:rPr>
          <w:rFonts w:eastAsia="黑体" w:cs="Calibri"/>
          <w:sz w:val="32"/>
          <w:szCs w:val="21"/>
        </w:rPr>
      </w:pPr>
      <w:r>
        <w:rPr>
          <w:rFonts w:hint="eastAsia" w:eastAsia="黑体" w:cs="Calibri"/>
          <w:sz w:val="32"/>
          <w:szCs w:val="21"/>
        </w:rPr>
        <w:t>负责人和课题组成员近五年内取得的与本课题有关的</w:t>
      </w:r>
    </w:p>
    <w:p w14:paraId="14D5F581">
      <w:pPr>
        <w:spacing w:line="585" w:lineRule="exact"/>
        <w:ind w:firstLine="320" w:firstLineChars="100"/>
        <w:rPr>
          <w:rFonts w:eastAsia="黑体" w:cs="Calibri"/>
          <w:sz w:val="32"/>
          <w:szCs w:val="21"/>
        </w:rPr>
      </w:pPr>
      <w:r>
        <w:rPr>
          <w:rFonts w:hint="eastAsia" w:eastAsia="黑体" w:cs="Calibri"/>
          <w:sz w:val="32"/>
          <w:szCs w:val="21"/>
        </w:rPr>
        <w:t>研究成果及工作基础</w:t>
      </w:r>
    </w:p>
    <w:tbl>
      <w:tblPr>
        <w:tblStyle w:val="8"/>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1086"/>
        <w:gridCol w:w="905"/>
        <w:gridCol w:w="3438"/>
        <w:gridCol w:w="1944"/>
      </w:tblGrid>
      <w:tr w14:paraId="18F5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A119DC9">
            <w:pPr>
              <w:jc w:val="left"/>
              <w:rPr>
                <w:rFonts w:ascii="黑体" w:hAnsi="黑体" w:eastAsia="黑体" w:cs="Calibri"/>
                <w:szCs w:val="21"/>
              </w:rPr>
            </w:pPr>
            <w:r>
              <w:rPr>
                <w:rFonts w:hint="eastAsia" w:ascii="仿宋_GB2312" w:hAnsi="宋体" w:eastAsia="仿宋_GB2312"/>
                <w:sz w:val="24"/>
                <w:szCs w:val="21"/>
              </w:rPr>
              <w:t>（一）研究成果</w:t>
            </w:r>
          </w:p>
        </w:tc>
      </w:tr>
      <w:tr w14:paraId="0489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vAlign w:val="center"/>
          </w:tcPr>
          <w:p w14:paraId="35219EAE">
            <w:pPr>
              <w:jc w:val="center"/>
              <w:rPr>
                <w:rFonts w:ascii="仿宋_GB2312" w:hAnsi="宋体" w:eastAsia="仿宋_GB2312"/>
                <w:sz w:val="24"/>
                <w:szCs w:val="21"/>
              </w:rPr>
            </w:pPr>
            <w:r>
              <w:rPr>
                <w:rFonts w:hint="eastAsia" w:ascii="仿宋_GB2312" w:hAnsi="宋体" w:eastAsia="仿宋_GB2312"/>
                <w:sz w:val="24"/>
                <w:szCs w:val="21"/>
              </w:rPr>
              <w:t>姓名</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7066D98A">
            <w:pPr>
              <w:jc w:val="center"/>
              <w:rPr>
                <w:rFonts w:ascii="仿宋_GB2312" w:hAnsi="宋体" w:eastAsia="仿宋_GB2312"/>
                <w:sz w:val="24"/>
                <w:szCs w:val="21"/>
              </w:rPr>
            </w:pPr>
            <w:r>
              <w:rPr>
                <w:rFonts w:hint="eastAsia" w:ascii="仿宋_GB2312" w:hAnsi="宋体" w:eastAsia="仿宋_GB2312"/>
                <w:sz w:val="24"/>
                <w:szCs w:val="21"/>
              </w:rPr>
              <w:t>年龄</w:t>
            </w:r>
          </w:p>
        </w:tc>
        <w:tc>
          <w:tcPr>
            <w:tcW w:w="905" w:type="dxa"/>
            <w:tcBorders>
              <w:top w:val="single" w:color="auto" w:sz="4" w:space="0"/>
              <w:left w:val="single" w:color="auto" w:sz="4" w:space="0"/>
              <w:bottom w:val="single" w:color="auto" w:sz="4" w:space="0"/>
              <w:right w:val="single" w:color="auto" w:sz="4" w:space="0"/>
              <w:tl2br w:val="nil"/>
              <w:tr2bl w:val="nil"/>
            </w:tcBorders>
            <w:vAlign w:val="center"/>
          </w:tcPr>
          <w:p w14:paraId="4BF283A6">
            <w:pPr>
              <w:jc w:val="center"/>
              <w:rPr>
                <w:rFonts w:ascii="仿宋_GB2312" w:hAnsi="宋体" w:eastAsia="仿宋_GB2312"/>
                <w:sz w:val="24"/>
                <w:szCs w:val="21"/>
              </w:rPr>
            </w:pPr>
            <w:r>
              <w:rPr>
                <w:rFonts w:hint="eastAsia" w:ascii="仿宋_GB2312" w:hAnsi="宋体" w:eastAsia="仿宋_GB2312"/>
                <w:sz w:val="24"/>
                <w:szCs w:val="21"/>
              </w:rPr>
              <w:t>职称</w:t>
            </w:r>
          </w:p>
        </w:tc>
        <w:tc>
          <w:tcPr>
            <w:tcW w:w="3438" w:type="dxa"/>
            <w:tcBorders>
              <w:top w:val="single" w:color="auto" w:sz="4" w:space="0"/>
              <w:left w:val="single" w:color="auto" w:sz="4" w:space="0"/>
              <w:bottom w:val="single" w:color="auto" w:sz="4" w:space="0"/>
              <w:right w:val="single" w:color="auto" w:sz="4" w:space="0"/>
              <w:tl2br w:val="nil"/>
              <w:tr2bl w:val="nil"/>
            </w:tcBorders>
            <w:vAlign w:val="center"/>
          </w:tcPr>
          <w:p w14:paraId="7588F848">
            <w:pPr>
              <w:jc w:val="center"/>
              <w:rPr>
                <w:rFonts w:ascii="仿宋_GB2312" w:hAnsi="宋体" w:eastAsia="仿宋_GB2312"/>
                <w:sz w:val="24"/>
                <w:szCs w:val="21"/>
              </w:rPr>
            </w:pPr>
            <w:r>
              <w:rPr>
                <w:rFonts w:hint="eastAsia" w:ascii="仿宋_GB2312" w:hAnsi="宋体" w:eastAsia="仿宋_GB2312"/>
                <w:sz w:val="24"/>
                <w:szCs w:val="21"/>
              </w:rPr>
              <w:t>著作、论文、实验报告名称</w:t>
            </w:r>
          </w:p>
        </w:tc>
        <w:tc>
          <w:tcPr>
            <w:tcW w:w="1944" w:type="dxa"/>
            <w:tcBorders>
              <w:top w:val="single" w:color="auto" w:sz="4" w:space="0"/>
              <w:left w:val="single" w:color="auto" w:sz="4" w:space="0"/>
              <w:bottom w:val="single" w:color="auto" w:sz="4" w:space="0"/>
              <w:right w:val="single" w:color="auto" w:sz="4" w:space="0"/>
              <w:tl2br w:val="nil"/>
              <w:tr2bl w:val="nil"/>
            </w:tcBorders>
            <w:vAlign w:val="center"/>
          </w:tcPr>
          <w:p w14:paraId="3FF17A9A">
            <w:pPr>
              <w:jc w:val="center"/>
              <w:rPr>
                <w:rFonts w:ascii="仿宋_GB2312" w:hAnsi="宋体" w:eastAsia="仿宋_GB2312"/>
                <w:sz w:val="24"/>
                <w:szCs w:val="21"/>
              </w:rPr>
            </w:pPr>
            <w:r>
              <w:rPr>
                <w:rFonts w:hint="eastAsia" w:ascii="仿宋_GB2312" w:hAnsi="宋体" w:eastAsia="仿宋_GB2312"/>
                <w:sz w:val="24"/>
                <w:szCs w:val="21"/>
              </w:rPr>
              <w:t>获奖级别</w:t>
            </w:r>
          </w:p>
          <w:p w14:paraId="4848FC78">
            <w:pPr>
              <w:jc w:val="center"/>
              <w:rPr>
                <w:rFonts w:ascii="仿宋_GB2312" w:hAnsi="宋体" w:eastAsia="仿宋_GB2312"/>
                <w:sz w:val="24"/>
                <w:szCs w:val="21"/>
              </w:rPr>
            </w:pPr>
            <w:r>
              <w:rPr>
                <w:rFonts w:hint="eastAsia" w:ascii="仿宋_GB2312" w:hAnsi="宋体" w:eastAsia="仿宋_GB2312"/>
                <w:sz w:val="24"/>
                <w:szCs w:val="21"/>
              </w:rPr>
              <w:t>（发表刊物或</w:t>
            </w:r>
          </w:p>
          <w:p w14:paraId="535D6E4B">
            <w:pPr>
              <w:jc w:val="center"/>
              <w:rPr>
                <w:rFonts w:ascii="仿宋_GB2312" w:hAnsi="宋体" w:eastAsia="仿宋_GB2312"/>
                <w:sz w:val="24"/>
                <w:szCs w:val="21"/>
              </w:rPr>
            </w:pPr>
            <w:r>
              <w:rPr>
                <w:rFonts w:hint="eastAsia" w:ascii="仿宋_GB2312" w:hAnsi="宋体" w:eastAsia="仿宋_GB2312"/>
                <w:sz w:val="24"/>
                <w:szCs w:val="21"/>
              </w:rPr>
              <w:t>出版单位）</w:t>
            </w:r>
          </w:p>
        </w:tc>
      </w:tr>
      <w:tr w14:paraId="4EE2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221C671B">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6087BA30">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1B583439">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092ABBA2">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33F7EFDD">
            <w:pPr>
              <w:rPr>
                <w:rFonts w:ascii="仿宋_GB2312" w:eastAsia="仿宋_GB2312" w:cs="Calibri"/>
                <w:szCs w:val="21"/>
              </w:rPr>
            </w:pPr>
          </w:p>
        </w:tc>
      </w:tr>
      <w:tr w14:paraId="44C9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1AB9CEF2">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569B8F47">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5662D64D">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0AD14EE1">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34D6916F">
            <w:pPr>
              <w:rPr>
                <w:rFonts w:ascii="仿宋_GB2312" w:eastAsia="仿宋_GB2312" w:cs="Calibri"/>
                <w:szCs w:val="21"/>
              </w:rPr>
            </w:pPr>
          </w:p>
        </w:tc>
      </w:tr>
      <w:tr w14:paraId="7C04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0A82DF43">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21106BA6">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554F0F15">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340FF5C3">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216BCA26">
            <w:pPr>
              <w:rPr>
                <w:rFonts w:ascii="仿宋_GB2312" w:eastAsia="仿宋_GB2312" w:cs="Calibri"/>
                <w:szCs w:val="21"/>
              </w:rPr>
            </w:pPr>
          </w:p>
        </w:tc>
      </w:tr>
      <w:tr w14:paraId="3798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3CBFAED1">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72328B57">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2A08F9AE">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349C9356">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2976740B">
            <w:pPr>
              <w:rPr>
                <w:rFonts w:ascii="仿宋_GB2312" w:eastAsia="仿宋_GB2312" w:cs="Calibri"/>
                <w:szCs w:val="21"/>
              </w:rPr>
            </w:pPr>
          </w:p>
        </w:tc>
      </w:tr>
      <w:tr w14:paraId="4BCD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4F7D19DF">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1054FAFE">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3D2384AD">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6D759770">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67DB7A07">
            <w:pPr>
              <w:rPr>
                <w:rFonts w:ascii="仿宋_GB2312" w:eastAsia="仿宋_GB2312" w:cs="Calibri"/>
                <w:szCs w:val="21"/>
              </w:rPr>
            </w:pPr>
          </w:p>
        </w:tc>
      </w:tr>
      <w:tr w14:paraId="7B8A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226E2758">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63EEDA77">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1F3DD290">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6D1162A0">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36F0CDBF">
            <w:pPr>
              <w:rPr>
                <w:rFonts w:ascii="仿宋_GB2312" w:eastAsia="仿宋_GB2312" w:cs="Calibri"/>
                <w:szCs w:val="21"/>
              </w:rPr>
            </w:pPr>
          </w:p>
        </w:tc>
      </w:tr>
      <w:tr w14:paraId="0500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6F478052">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66FB610B">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5B4E329C">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38B60FDF">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08D1FD2C">
            <w:pPr>
              <w:rPr>
                <w:rFonts w:ascii="仿宋_GB2312" w:eastAsia="仿宋_GB2312" w:cs="Calibri"/>
                <w:szCs w:val="21"/>
              </w:rPr>
            </w:pPr>
          </w:p>
        </w:tc>
      </w:tr>
      <w:tr w14:paraId="18E1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2D523F60">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7B9F03BB">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7A484225">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6C52EC5D">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2B6E2CA2">
            <w:pPr>
              <w:rPr>
                <w:rFonts w:ascii="仿宋_GB2312" w:eastAsia="仿宋_GB2312" w:cs="Calibri"/>
                <w:szCs w:val="21"/>
              </w:rPr>
            </w:pPr>
          </w:p>
        </w:tc>
      </w:tr>
      <w:tr w14:paraId="1C9D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2A72ED19">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021BC121">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27A9FE66">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3AD8C9C9">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55ACC25B">
            <w:pPr>
              <w:rPr>
                <w:rFonts w:ascii="仿宋_GB2312" w:eastAsia="仿宋_GB2312" w:cs="Calibri"/>
                <w:szCs w:val="21"/>
              </w:rPr>
            </w:pPr>
          </w:p>
        </w:tc>
      </w:tr>
      <w:tr w14:paraId="7065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332A60B6">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301982EA">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4B03D3DA">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4D064F9B">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747A19D6">
            <w:pPr>
              <w:rPr>
                <w:rFonts w:ascii="仿宋_GB2312" w:eastAsia="仿宋_GB2312" w:cs="Calibri"/>
                <w:szCs w:val="21"/>
              </w:rPr>
            </w:pPr>
          </w:p>
        </w:tc>
      </w:tr>
      <w:tr w14:paraId="7F72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0CC9216C">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15049A4D">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741C5B2C">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0FB802B2">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5289E0A0">
            <w:pPr>
              <w:rPr>
                <w:rFonts w:ascii="仿宋_GB2312" w:eastAsia="仿宋_GB2312" w:cs="Calibri"/>
                <w:szCs w:val="21"/>
              </w:rPr>
            </w:pPr>
          </w:p>
        </w:tc>
      </w:tr>
      <w:tr w14:paraId="50A2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084D4826">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7A12A81D">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58624135">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470ED755">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685C323B">
            <w:pPr>
              <w:rPr>
                <w:rFonts w:ascii="仿宋_GB2312" w:eastAsia="仿宋_GB2312" w:cs="Calibri"/>
                <w:szCs w:val="21"/>
              </w:rPr>
            </w:pPr>
          </w:p>
        </w:tc>
      </w:tr>
      <w:tr w14:paraId="5564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354BBD53">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0F2BF47D">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3950D0DB">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69F8B67D">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70A040EB">
            <w:pPr>
              <w:rPr>
                <w:rFonts w:ascii="仿宋_GB2312" w:eastAsia="仿宋_GB2312" w:cs="Calibri"/>
                <w:szCs w:val="21"/>
              </w:rPr>
            </w:pPr>
          </w:p>
        </w:tc>
      </w:tr>
      <w:tr w14:paraId="2325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03E07CDA">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5703AF95">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306A6BD8">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0BF1AED6">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7EBA583A">
            <w:pPr>
              <w:rPr>
                <w:rFonts w:ascii="仿宋_GB2312" w:eastAsia="仿宋_GB2312" w:cs="Calibri"/>
                <w:szCs w:val="21"/>
              </w:rPr>
            </w:pPr>
          </w:p>
        </w:tc>
      </w:tr>
      <w:tr w14:paraId="6BB2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94" w:type="dxa"/>
            <w:tcBorders>
              <w:top w:val="single" w:color="auto" w:sz="4" w:space="0"/>
              <w:left w:val="single" w:color="auto" w:sz="4" w:space="0"/>
              <w:bottom w:val="single" w:color="auto" w:sz="4" w:space="0"/>
              <w:right w:val="single" w:color="auto" w:sz="4" w:space="0"/>
              <w:tl2br w:val="nil"/>
              <w:tr2bl w:val="nil"/>
            </w:tcBorders>
          </w:tcPr>
          <w:p w14:paraId="56895F70">
            <w:pPr>
              <w:rPr>
                <w:rFonts w:ascii="仿宋_GB2312" w:eastAsia="仿宋_GB2312" w:cs="Calibri"/>
                <w:szCs w:val="21"/>
              </w:rPr>
            </w:pPr>
          </w:p>
        </w:tc>
        <w:tc>
          <w:tcPr>
            <w:tcW w:w="1086" w:type="dxa"/>
            <w:tcBorders>
              <w:top w:val="single" w:color="auto" w:sz="4" w:space="0"/>
              <w:left w:val="single" w:color="auto" w:sz="4" w:space="0"/>
              <w:bottom w:val="single" w:color="auto" w:sz="4" w:space="0"/>
              <w:right w:val="single" w:color="auto" w:sz="4" w:space="0"/>
              <w:tl2br w:val="nil"/>
              <w:tr2bl w:val="nil"/>
            </w:tcBorders>
          </w:tcPr>
          <w:p w14:paraId="536E3C1F">
            <w:pPr>
              <w:rPr>
                <w:rFonts w:ascii="仿宋_GB2312" w:eastAsia="仿宋_GB2312" w:cs="Calibri"/>
                <w:szCs w:val="21"/>
              </w:rPr>
            </w:pPr>
          </w:p>
        </w:tc>
        <w:tc>
          <w:tcPr>
            <w:tcW w:w="905" w:type="dxa"/>
            <w:tcBorders>
              <w:top w:val="single" w:color="auto" w:sz="4" w:space="0"/>
              <w:left w:val="single" w:color="auto" w:sz="4" w:space="0"/>
              <w:bottom w:val="single" w:color="auto" w:sz="4" w:space="0"/>
              <w:right w:val="single" w:color="auto" w:sz="4" w:space="0"/>
              <w:tl2br w:val="nil"/>
              <w:tr2bl w:val="nil"/>
            </w:tcBorders>
          </w:tcPr>
          <w:p w14:paraId="3A1C685B">
            <w:pPr>
              <w:rPr>
                <w:rFonts w:ascii="仿宋_GB2312" w:eastAsia="仿宋_GB2312" w:cs="Calibri"/>
                <w:szCs w:val="21"/>
              </w:rPr>
            </w:pPr>
          </w:p>
        </w:tc>
        <w:tc>
          <w:tcPr>
            <w:tcW w:w="3438" w:type="dxa"/>
            <w:tcBorders>
              <w:top w:val="single" w:color="auto" w:sz="4" w:space="0"/>
              <w:left w:val="single" w:color="auto" w:sz="4" w:space="0"/>
              <w:bottom w:val="single" w:color="auto" w:sz="4" w:space="0"/>
              <w:right w:val="single" w:color="auto" w:sz="4" w:space="0"/>
              <w:tl2br w:val="nil"/>
              <w:tr2bl w:val="nil"/>
            </w:tcBorders>
          </w:tcPr>
          <w:p w14:paraId="70818700">
            <w:pPr>
              <w:rPr>
                <w:rFonts w:ascii="仿宋_GB2312" w:eastAsia="仿宋_GB2312" w:cs="Calibri"/>
                <w:szCs w:val="21"/>
              </w:rPr>
            </w:pPr>
          </w:p>
        </w:tc>
        <w:tc>
          <w:tcPr>
            <w:tcW w:w="1944" w:type="dxa"/>
            <w:tcBorders>
              <w:top w:val="single" w:color="auto" w:sz="4" w:space="0"/>
              <w:left w:val="single" w:color="auto" w:sz="4" w:space="0"/>
              <w:bottom w:val="single" w:color="auto" w:sz="4" w:space="0"/>
              <w:right w:val="single" w:color="auto" w:sz="4" w:space="0"/>
              <w:tl2br w:val="nil"/>
              <w:tr2bl w:val="nil"/>
            </w:tcBorders>
          </w:tcPr>
          <w:p w14:paraId="0ED3CFEB">
            <w:pPr>
              <w:rPr>
                <w:rFonts w:ascii="仿宋_GB2312" w:eastAsia="仿宋_GB2312" w:cs="Calibri"/>
                <w:szCs w:val="21"/>
              </w:rPr>
            </w:pPr>
          </w:p>
        </w:tc>
      </w:tr>
    </w:tbl>
    <w:p w14:paraId="5B690B33">
      <w:pPr>
        <w:rPr>
          <w:rFonts w:eastAsia="黑体" w:cs="Calibri"/>
          <w:sz w:val="24"/>
          <w:szCs w:val="21"/>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9D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8522" w:type="dxa"/>
            <w:tcBorders>
              <w:top w:val="single" w:color="auto" w:sz="4" w:space="0"/>
              <w:left w:val="single" w:color="auto" w:sz="4" w:space="0"/>
              <w:bottom w:val="single" w:color="auto" w:sz="4" w:space="0"/>
              <w:right w:val="single" w:color="auto" w:sz="4" w:space="0"/>
              <w:tl2br w:val="nil"/>
              <w:tr2bl w:val="nil"/>
            </w:tcBorders>
            <w:vAlign w:val="center"/>
          </w:tcPr>
          <w:p w14:paraId="2549EB44">
            <w:pPr>
              <w:rPr>
                <w:rFonts w:ascii="仿宋_GB2312" w:eastAsia="仿宋_GB2312" w:cs="Calibri"/>
                <w:sz w:val="24"/>
                <w:szCs w:val="21"/>
              </w:rPr>
            </w:pPr>
            <w:r>
              <w:rPr>
                <w:rFonts w:hint="eastAsia" w:ascii="仿宋_GB2312" w:hAnsi="宋体" w:eastAsia="仿宋_GB2312" w:cs="宋体"/>
                <w:sz w:val="24"/>
                <w:szCs w:val="21"/>
              </w:rPr>
              <w:t>（二）工作基础</w:t>
            </w:r>
          </w:p>
        </w:tc>
      </w:tr>
      <w:tr w14:paraId="653D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9" w:hRule="atLeast"/>
          <w:jc w:val="center"/>
        </w:trPr>
        <w:tc>
          <w:tcPr>
            <w:tcW w:w="8522" w:type="dxa"/>
            <w:tcBorders>
              <w:top w:val="single" w:color="auto" w:sz="4" w:space="0"/>
              <w:left w:val="single" w:color="auto" w:sz="4" w:space="0"/>
              <w:bottom w:val="single" w:color="auto" w:sz="4" w:space="0"/>
              <w:right w:val="single" w:color="auto" w:sz="4" w:space="0"/>
              <w:tl2br w:val="nil"/>
              <w:tr2bl w:val="nil"/>
            </w:tcBorders>
          </w:tcPr>
          <w:p w14:paraId="05C4C4B8">
            <w:pPr>
              <w:rPr>
                <w:rFonts w:ascii="仿宋_GB2312" w:eastAsia="仿宋_GB2312"/>
                <w:sz w:val="24"/>
                <w:szCs w:val="21"/>
              </w:rPr>
            </w:pPr>
            <w:r>
              <w:rPr>
                <w:rFonts w:hint="eastAsia" w:ascii="仿宋_GB2312" w:eastAsia="仿宋_GB2312"/>
                <w:sz w:val="24"/>
                <w:szCs w:val="21"/>
              </w:rPr>
              <w:t>1.课题组成员已开展的相关研究实践概述及对本研究的价值（包括自选课题、校级以上课题等）。</w:t>
            </w:r>
          </w:p>
          <w:p w14:paraId="4D8644B7">
            <w:pPr>
              <w:rPr>
                <w:rFonts w:ascii="仿宋_GB2312" w:eastAsia="仿宋_GB2312" w:cs="Calibri"/>
                <w:sz w:val="24"/>
                <w:szCs w:val="21"/>
              </w:rPr>
            </w:pPr>
          </w:p>
          <w:p w14:paraId="613B6ED5">
            <w:pPr>
              <w:rPr>
                <w:rFonts w:ascii="仿宋_GB2312" w:eastAsia="仿宋_GB2312" w:cs="Calibri"/>
                <w:sz w:val="24"/>
                <w:szCs w:val="21"/>
              </w:rPr>
            </w:pPr>
          </w:p>
          <w:p w14:paraId="1CC937D2">
            <w:pPr>
              <w:rPr>
                <w:rFonts w:ascii="仿宋_GB2312" w:eastAsia="仿宋_GB2312" w:cs="Calibri"/>
                <w:sz w:val="24"/>
                <w:szCs w:val="21"/>
              </w:rPr>
            </w:pPr>
          </w:p>
          <w:p w14:paraId="7C9CC027">
            <w:pPr>
              <w:rPr>
                <w:rFonts w:ascii="仿宋_GB2312" w:eastAsia="仿宋_GB2312" w:cs="Calibri"/>
                <w:sz w:val="24"/>
                <w:szCs w:val="21"/>
              </w:rPr>
            </w:pPr>
          </w:p>
          <w:p w14:paraId="7AF321BC">
            <w:pPr>
              <w:rPr>
                <w:rFonts w:ascii="仿宋_GB2312" w:eastAsia="仿宋_GB2312" w:cs="Calibri"/>
                <w:sz w:val="24"/>
                <w:szCs w:val="21"/>
              </w:rPr>
            </w:pPr>
          </w:p>
          <w:p w14:paraId="2E22DB68">
            <w:pPr>
              <w:rPr>
                <w:rFonts w:ascii="仿宋_GB2312" w:eastAsia="仿宋_GB2312" w:cs="Calibri"/>
                <w:sz w:val="24"/>
                <w:szCs w:val="21"/>
              </w:rPr>
            </w:pPr>
          </w:p>
          <w:p w14:paraId="38C5CD4E">
            <w:pPr>
              <w:rPr>
                <w:rFonts w:ascii="仿宋_GB2312" w:eastAsia="仿宋_GB2312" w:cs="Calibri"/>
                <w:sz w:val="24"/>
                <w:szCs w:val="21"/>
              </w:rPr>
            </w:pPr>
          </w:p>
          <w:p w14:paraId="0EAAB0EA">
            <w:pPr>
              <w:rPr>
                <w:rFonts w:ascii="仿宋_GB2312" w:eastAsia="仿宋_GB2312" w:cs="Calibri"/>
                <w:sz w:val="24"/>
                <w:szCs w:val="21"/>
              </w:rPr>
            </w:pPr>
          </w:p>
          <w:p w14:paraId="726F6B1B">
            <w:pPr>
              <w:rPr>
                <w:rFonts w:ascii="仿宋_GB2312" w:eastAsia="仿宋_GB2312" w:cs="Calibri"/>
                <w:sz w:val="24"/>
                <w:szCs w:val="21"/>
              </w:rPr>
            </w:pPr>
          </w:p>
          <w:p w14:paraId="70B2F748">
            <w:pPr>
              <w:rPr>
                <w:rFonts w:ascii="仿宋_GB2312" w:eastAsia="仿宋_GB2312" w:cs="Calibri"/>
                <w:sz w:val="24"/>
                <w:szCs w:val="21"/>
              </w:rPr>
            </w:pPr>
          </w:p>
          <w:p w14:paraId="3F3DD287">
            <w:pPr>
              <w:rPr>
                <w:rFonts w:ascii="仿宋_GB2312" w:eastAsia="仿宋_GB2312" w:cs="Calibri"/>
                <w:sz w:val="24"/>
                <w:szCs w:val="21"/>
              </w:rPr>
            </w:pPr>
          </w:p>
          <w:p w14:paraId="1D89AC9C">
            <w:pPr>
              <w:rPr>
                <w:rFonts w:ascii="仿宋_GB2312" w:eastAsia="仿宋_GB2312" w:cs="Calibri"/>
                <w:sz w:val="24"/>
                <w:szCs w:val="21"/>
              </w:rPr>
            </w:pPr>
          </w:p>
          <w:p w14:paraId="21ACB720">
            <w:pPr>
              <w:rPr>
                <w:rFonts w:ascii="仿宋_GB2312" w:eastAsia="仿宋_GB2312" w:cs="Calibri"/>
                <w:sz w:val="24"/>
                <w:szCs w:val="21"/>
              </w:rPr>
            </w:pPr>
          </w:p>
          <w:p w14:paraId="5340C814">
            <w:pPr>
              <w:rPr>
                <w:rFonts w:ascii="仿宋_GB2312" w:eastAsia="仿宋_GB2312"/>
                <w:sz w:val="24"/>
                <w:szCs w:val="21"/>
              </w:rPr>
            </w:pPr>
            <w:r>
              <w:rPr>
                <w:rFonts w:hint="eastAsia" w:ascii="仿宋_GB2312" w:eastAsia="仿宋_GB2312"/>
                <w:sz w:val="24"/>
                <w:szCs w:val="21"/>
              </w:rPr>
              <w:t>2.已具备的教学改革与研究基础，单位对课题的支持情况（含有关政策、经费支持及其使用管理机制、保障条件等，可附有关文件），尚缺少的条件和拟解决的途径（不少于500字）。</w:t>
            </w:r>
          </w:p>
          <w:p w14:paraId="26093FCD">
            <w:pPr>
              <w:rPr>
                <w:rFonts w:ascii="仿宋_GB2312" w:eastAsia="仿宋_GB2312" w:cs="Calibri"/>
                <w:sz w:val="24"/>
                <w:szCs w:val="21"/>
              </w:rPr>
            </w:pPr>
          </w:p>
        </w:tc>
      </w:tr>
    </w:tbl>
    <w:p w14:paraId="19B84CCE">
      <w:pPr>
        <w:spacing w:line="585" w:lineRule="exact"/>
        <w:ind w:firstLine="640" w:firstLineChars="200"/>
        <w:rPr>
          <w:rFonts w:eastAsia="黑体" w:cs="Calibri"/>
          <w:sz w:val="32"/>
          <w:szCs w:val="21"/>
        </w:rPr>
      </w:pPr>
      <w:r>
        <w:rPr>
          <w:rFonts w:hint="eastAsia" w:eastAsia="黑体" w:cs="Calibri"/>
          <w:sz w:val="32"/>
          <w:szCs w:val="21"/>
        </w:rPr>
        <w:t>三、课题论证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8ED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6" w:hRule="atLeast"/>
          <w:jc w:val="center"/>
        </w:trPr>
        <w:tc>
          <w:tcPr>
            <w:tcW w:w="8522" w:type="dxa"/>
            <w:tcBorders>
              <w:top w:val="single" w:color="auto" w:sz="4" w:space="0"/>
              <w:left w:val="single" w:color="auto" w:sz="4" w:space="0"/>
              <w:bottom w:val="single" w:color="auto" w:sz="4" w:space="0"/>
              <w:right w:val="single" w:color="auto" w:sz="4" w:space="0"/>
              <w:tl2br w:val="nil"/>
              <w:tr2bl w:val="nil"/>
            </w:tcBorders>
            <w:vAlign w:val="center"/>
          </w:tcPr>
          <w:p w14:paraId="181CC79A">
            <w:pPr>
              <w:rPr>
                <w:rFonts w:ascii="仿宋_GB2312" w:hAnsi="宋体" w:eastAsia="仿宋_GB2312" w:cs="宋体"/>
                <w:sz w:val="24"/>
                <w:szCs w:val="21"/>
              </w:rPr>
            </w:pPr>
            <w:r>
              <w:rPr>
                <w:rFonts w:hint="eastAsia" w:ascii="仿宋_GB2312" w:hAnsi="宋体" w:eastAsia="仿宋_GB2312" w:cs="宋体"/>
                <w:sz w:val="24"/>
                <w:szCs w:val="21"/>
              </w:rPr>
              <w:t>（一）对研究课题的论证</w:t>
            </w:r>
          </w:p>
          <w:p w14:paraId="4EB34DD3">
            <w:pPr>
              <w:ind w:firstLine="480" w:firstLineChars="200"/>
              <w:rPr>
                <w:rFonts w:ascii="仿宋_GB2312" w:eastAsia="仿宋_GB2312"/>
                <w:sz w:val="24"/>
                <w:szCs w:val="21"/>
              </w:rPr>
            </w:pPr>
            <w:r>
              <w:rPr>
                <w:rFonts w:hint="eastAsia" w:ascii="仿宋_GB2312" w:hAnsi="宋体" w:eastAsia="仿宋_GB2312"/>
                <w:sz w:val="24"/>
                <w:szCs w:val="21"/>
              </w:rPr>
              <w:t>本课题选题的依据（选题的现实背景或问题、国内外同类课题研究状况等）、</w:t>
            </w:r>
            <w:r>
              <w:rPr>
                <w:rFonts w:hint="eastAsia" w:ascii="仿宋_GB2312" w:hAnsi="宋体" w:eastAsia="仿宋_GB2312" w:cs="宋体"/>
                <w:sz w:val="24"/>
                <w:szCs w:val="21"/>
              </w:rPr>
              <w:t>本课题研究目标、理论假设、基本内容、重点和难点；本课题的理论意义和实践意义。</w:t>
            </w:r>
            <w:r>
              <w:rPr>
                <w:rFonts w:hint="eastAsia" w:ascii="仿宋_GB2312" w:eastAsia="仿宋_GB2312"/>
                <w:sz w:val="24"/>
                <w:szCs w:val="21"/>
              </w:rPr>
              <w:t>本课题的特色创新、推广应用价值及途径（请逐条列点进行阐述，字数不少于2000字）。</w:t>
            </w:r>
          </w:p>
          <w:p w14:paraId="5CA273A5">
            <w:pPr>
              <w:rPr>
                <w:rFonts w:ascii="仿宋_GB2312" w:eastAsia="仿宋_GB2312"/>
                <w:sz w:val="24"/>
                <w:szCs w:val="21"/>
              </w:rPr>
            </w:pPr>
          </w:p>
          <w:p w14:paraId="6321BF26">
            <w:pPr>
              <w:rPr>
                <w:rFonts w:ascii="仿宋_GB2312" w:eastAsia="仿宋_GB2312"/>
                <w:sz w:val="24"/>
                <w:szCs w:val="21"/>
              </w:rPr>
            </w:pPr>
          </w:p>
          <w:p w14:paraId="3E187158">
            <w:pPr>
              <w:rPr>
                <w:rFonts w:ascii="仿宋_GB2312" w:eastAsia="仿宋_GB2312"/>
                <w:sz w:val="24"/>
                <w:szCs w:val="21"/>
              </w:rPr>
            </w:pPr>
          </w:p>
          <w:p w14:paraId="25FA3B89">
            <w:pPr>
              <w:rPr>
                <w:rFonts w:ascii="仿宋_GB2312" w:eastAsia="仿宋_GB2312"/>
                <w:sz w:val="24"/>
                <w:szCs w:val="21"/>
              </w:rPr>
            </w:pPr>
          </w:p>
          <w:p w14:paraId="6709DCCF">
            <w:pPr>
              <w:rPr>
                <w:rFonts w:ascii="仿宋_GB2312" w:eastAsia="仿宋_GB2312"/>
                <w:sz w:val="24"/>
                <w:szCs w:val="21"/>
              </w:rPr>
            </w:pPr>
          </w:p>
          <w:p w14:paraId="635334D5">
            <w:pPr>
              <w:rPr>
                <w:rFonts w:ascii="仿宋_GB2312" w:eastAsia="仿宋_GB2312"/>
                <w:sz w:val="24"/>
                <w:szCs w:val="21"/>
              </w:rPr>
            </w:pPr>
          </w:p>
          <w:p w14:paraId="20876018">
            <w:pPr>
              <w:rPr>
                <w:rFonts w:ascii="仿宋_GB2312" w:eastAsia="仿宋_GB2312"/>
                <w:sz w:val="24"/>
                <w:szCs w:val="21"/>
              </w:rPr>
            </w:pPr>
          </w:p>
          <w:p w14:paraId="6CB145D8">
            <w:pPr>
              <w:rPr>
                <w:rFonts w:ascii="仿宋_GB2312" w:eastAsia="仿宋_GB2312"/>
                <w:sz w:val="24"/>
                <w:szCs w:val="21"/>
              </w:rPr>
            </w:pPr>
          </w:p>
          <w:p w14:paraId="356A8FF6">
            <w:pPr>
              <w:rPr>
                <w:rFonts w:ascii="仿宋_GB2312" w:eastAsia="仿宋_GB2312"/>
                <w:sz w:val="24"/>
                <w:szCs w:val="21"/>
              </w:rPr>
            </w:pPr>
          </w:p>
          <w:p w14:paraId="06F585FB">
            <w:pPr>
              <w:rPr>
                <w:rFonts w:ascii="仿宋_GB2312" w:eastAsia="仿宋_GB2312"/>
                <w:sz w:val="24"/>
                <w:szCs w:val="21"/>
              </w:rPr>
            </w:pPr>
          </w:p>
          <w:p w14:paraId="489CFB3A">
            <w:pPr>
              <w:rPr>
                <w:rFonts w:ascii="仿宋_GB2312" w:eastAsia="仿宋_GB2312"/>
                <w:sz w:val="24"/>
                <w:szCs w:val="21"/>
              </w:rPr>
            </w:pPr>
          </w:p>
          <w:p w14:paraId="5C9A4936">
            <w:pPr>
              <w:rPr>
                <w:rFonts w:ascii="仿宋_GB2312" w:eastAsia="仿宋_GB2312"/>
                <w:sz w:val="24"/>
                <w:szCs w:val="21"/>
              </w:rPr>
            </w:pPr>
          </w:p>
          <w:p w14:paraId="72F760BE">
            <w:pPr>
              <w:rPr>
                <w:rFonts w:ascii="仿宋_GB2312" w:eastAsia="仿宋_GB2312"/>
                <w:sz w:val="24"/>
                <w:szCs w:val="21"/>
              </w:rPr>
            </w:pPr>
          </w:p>
          <w:p w14:paraId="72424CCD">
            <w:pPr>
              <w:rPr>
                <w:rFonts w:ascii="仿宋_GB2312" w:eastAsia="仿宋_GB2312"/>
                <w:sz w:val="24"/>
                <w:szCs w:val="21"/>
              </w:rPr>
            </w:pPr>
          </w:p>
          <w:p w14:paraId="0E2C42D1">
            <w:pPr>
              <w:rPr>
                <w:rFonts w:ascii="仿宋_GB2312" w:eastAsia="仿宋_GB2312"/>
                <w:sz w:val="24"/>
                <w:szCs w:val="21"/>
              </w:rPr>
            </w:pPr>
          </w:p>
          <w:p w14:paraId="0D25014C">
            <w:pPr>
              <w:rPr>
                <w:rFonts w:ascii="仿宋_GB2312" w:eastAsia="仿宋_GB2312"/>
                <w:sz w:val="24"/>
                <w:szCs w:val="21"/>
              </w:rPr>
            </w:pPr>
          </w:p>
          <w:p w14:paraId="58DC0048">
            <w:pPr>
              <w:rPr>
                <w:rFonts w:ascii="仿宋_GB2312" w:eastAsia="仿宋_GB2312"/>
                <w:sz w:val="24"/>
                <w:szCs w:val="21"/>
              </w:rPr>
            </w:pPr>
          </w:p>
          <w:p w14:paraId="1BE57E37">
            <w:pPr>
              <w:numPr>
                <w:ilvl w:val="0"/>
                <w:numId w:val="3"/>
              </w:numPr>
              <w:rPr>
                <w:rFonts w:ascii="仿宋_GB2312" w:hAnsi="宋体" w:eastAsia="仿宋_GB2312" w:cs="宋体"/>
                <w:sz w:val="24"/>
                <w:szCs w:val="21"/>
              </w:rPr>
            </w:pPr>
            <w:r>
              <w:rPr>
                <w:rFonts w:hint="eastAsia" w:ascii="仿宋_GB2312" w:hAnsi="宋体" w:eastAsia="仿宋_GB2312" w:cs="宋体"/>
                <w:sz w:val="24"/>
                <w:szCs w:val="21"/>
              </w:rPr>
              <w:t>对课题实施和完成条件的论证</w:t>
            </w:r>
          </w:p>
          <w:p w14:paraId="19BD7766">
            <w:pPr>
              <w:ind w:firstLine="480" w:firstLineChars="200"/>
              <w:rPr>
                <w:rFonts w:ascii="仿宋_GB2312" w:eastAsia="仿宋_GB2312"/>
                <w:sz w:val="24"/>
                <w:szCs w:val="21"/>
              </w:rPr>
            </w:pPr>
            <w:r>
              <w:rPr>
                <w:rFonts w:hint="eastAsia" w:ascii="仿宋_GB2312" w:hAnsi="宋体" w:eastAsia="仿宋_GB2312" w:cs="宋体"/>
                <w:sz w:val="24"/>
                <w:szCs w:val="21"/>
              </w:rPr>
              <w:t>负责人的研究水平、组织能力和时间保证；参与人员的研究水平和时间保证；资料设备，科研手段等。</w:t>
            </w:r>
          </w:p>
          <w:p w14:paraId="0E172D44">
            <w:pPr>
              <w:rPr>
                <w:rFonts w:ascii="仿宋_GB2312" w:eastAsia="仿宋_GB2312"/>
                <w:sz w:val="24"/>
                <w:szCs w:val="21"/>
              </w:rPr>
            </w:pPr>
          </w:p>
          <w:p w14:paraId="62498E3C">
            <w:pPr>
              <w:rPr>
                <w:rFonts w:ascii="仿宋_GB2312" w:eastAsia="仿宋_GB2312"/>
                <w:sz w:val="24"/>
                <w:szCs w:val="21"/>
              </w:rPr>
            </w:pPr>
          </w:p>
          <w:p w14:paraId="099291FA">
            <w:pPr>
              <w:rPr>
                <w:rFonts w:ascii="仿宋_GB2312" w:eastAsia="仿宋_GB2312"/>
                <w:sz w:val="24"/>
                <w:szCs w:val="21"/>
              </w:rPr>
            </w:pPr>
          </w:p>
          <w:p w14:paraId="3D3E484B">
            <w:pPr>
              <w:rPr>
                <w:rFonts w:ascii="仿宋_GB2312" w:eastAsia="仿宋_GB2312"/>
                <w:sz w:val="24"/>
                <w:szCs w:val="21"/>
              </w:rPr>
            </w:pPr>
          </w:p>
          <w:p w14:paraId="52F6EABD">
            <w:pPr>
              <w:rPr>
                <w:rFonts w:ascii="仿宋_GB2312" w:eastAsia="仿宋_GB2312"/>
                <w:sz w:val="24"/>
                <w:szCs w:val="21"/>
              </w:rPr>
            </w:pPr>
          </w:p>
          <w:p w14:paraId="6E6F46E5">
            <w:pPr>
              <w:rPr>
                <w:rFonts w:ascii="仿宋_GB2312" w:eastAsia="仿宋_GB2312"/>
                <w:sz w:val="24"/>
                <w:szCs w:val="21"/>
              </w:rPr>
            </w:pPr>
          </w:p>
          <w:p w14:paraId="1222097D">
            <w:pPr>
              <w:rPr>
                <w:rFonts w:ascii="仿宋_GB2312" w:eastAsia="仿宋_GB2312"/>
                <w:sz w:val="24"/>
                <w:szCs w:val="21"/>
              </w:rPr>
            </w:pPr>
          </w:p>
          <w:p w14:paraId="00EA151C">
            <w:pPr>
              <w:rPr>
                <w:rFonts w:ascii="仿宋_GB2312" w:eastAsia="仿宋_GB2312"/>
                <w:sz w:val="24"/>
                <w:szCs w:val="21"/>
              </w:rPr>
            </w:pPr>
          </w:p>
          <w:p w14:paraId="20EC57C2">
            <w:pPr>
              <w:rPr>
                <w:rFonts w:ascii="仿宋_GB2312" w:eastAsia="仿宋_GB2312"/>
                <w:sz w:val="24"/>
                <w:szCs w:val="21"/>
              </w:rPr>
            </w:pPr>
          </w:p>
          <w:p w14:paraId="132CEF89">
            <w:pPr>
              <w:rPr>
                <w:rFonts w:ascii="仿宋_GB2312" w:eastAsia="仿宋_GB2312"/>
                <w:sz w:val="24"/>
                <w:szCs w:val="21"/>
              </w:rPr>
            </w:pPr>
          </w:p>
          <w:p w14:paraId="22DC57A0">
            <w:pPr>
              <w:rPr>
                <w:rFonts w:ascii="仿宋_GB2312" w:eastAsia="仿宋_GB2312"/>
                <w:sz w:val="24"/>
                <w:szCs w:val="21"/>
              </w:rPr>
            </w:pPr>
          </w:p>
          <w:p w14:paraId="362C7620">
            <w:pPr>
              <w:rPr>
                <w:rFonts w:ascii="仿宋_GB2312" w:eastAsia="仿宋_GB2312"/>
                <w:sz w:val="24"/>
                <w:szCs w:val="21"/>
              </w:rPr>
            </w:pPr>
          </w:p>
          <w:p w14:paraId="0DE2D4B4">
            <w:pPr>
              <w:rPr>
                <w:rFonts w:ascii="仿宋_GB2312" w:eastAsia="仿宋_GB2312" w:cs="Calibri"/>
                <w:sz w:val="24"/>
                <w:szCs w:val="21"/>
              </w:rPr>
            </w:pPr>
          </w:p>
        </w:tc>
      </w:tr>
    </w:tbl>
    <w:p w14:paraId="2B8EFB50">
      <w:pPr>
        <w:spacing w:line="585" w:lineRule="exact"/>
        <w:ind w:firstLine="640" w:firstLineChars="200"/>
        <w:rPr>
          <w:rFonts w:eastAsia="黑体" w:cs="Calibri"/>
          <w:sz w:val="32"/>
          <w:szCs w:val="21"/>
        </w:rPr>
      </w:pPr>
      <w:r>
        <w:rPr>
          <w:rFonts w:hint="eastAsia" w:eastAsia="黑体" w:cs="Calibri"/>
          <w:sz w:val="32"/>
          <w:szCs w:val="21"/>
        </w:rPr>
        <w:t>四、实施方案（具体操作过程和研究方法）</w:t>
      </w:r>
    </w:p>
    <w:tbl>
      <w:tblPr>
        <w:tblStyle w:val="8"/>
        <w:tblW w:w="8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6"/>
      </w:tblGrid>
      <w:tr w14:paraId="3923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7" w:hRule="atLeast"/>
          <w:jc w:val="center"/>
        </w:trPr>
        <w:tc>
          <w:tcPr>
            <w:tcW w:w="8386" w:type="dxa"/>
            <w:tcBorders>
              <w:top w:val="single" w:color="auto" w:sz="4" w:space="0"/>
              <w:left w:val="single" w:color="auto" w:sz="4" w:space="0"/>
              <w:bottom w:val="single" w:color="auto" w:sz="4" w:space="0"/>
              <w:right w:val="single" w:color="auto" w:sz="4" w:space="0"/>
              <w:tl2br w:val="nil"/>
              <w:tr2bl w:val="nil"/>
            </w:tcBorders>
          </w:tcPr>
          <w:p w14:paraId="56D0B17B">
            <w:pPr>
              <w:rPr>
                <w:rFonts w:ascii="仿宋_GB2312" w:eastAsia="仿宋_GB2312"/>
                <w:sz w:val="24"/>
                <w:szCs w:val="21"/>
              </w:rPr>
            </w:pPr>
          </w:p>
          <w:p w14:paraId="1249A109">
            <w:pPr>
              <w:rPr>
                <w:rFonts w:ascii="仿宋_GB2312" w:eastAsia="仿宋_GB2312"/>
                <w:sz w:val="24"/>
                <w:szCs w:val="21"/>
              </w:rPr>
            </w:pPr>
            <w:r>
              <w:rPr>
                <w:rFonts w:hint="eastAsia" w:ascii="仿宋_GB2312" w:eastAsia="仿宋_GB2312"/>
                <w:sz w:val="24"/>
                <w:szCs w:val="21"/>
              </w:rPr>
              <w:t>（一）研究基本思路</w:t>
            </w:r>
          </w:p>
          <w:p w14:paraId="4F720588">
            <w:pPr>
              <w:rPr>
                <w:rFonts w:ascii="仿宋_GB2312" w:eastAsia="仿宋_GB2312"/>
                <w:sz w:val="24"/>
                <w:szCs w:val="21"/>
              </w:rPr>
            </w:pPr>
          </w:p>
          <w:p w14:paraId="687A204C">
            <w:pPr>
              <w:rPr>
                <w:rFonts w:ascii="仿宋_GB2312" w:eastAsia="仿宋_GB2312"/>
                <w:sz w:val="24"/>
                <w:szCs w:val="21"/>
              </w:rPr>
            </w:pPr>
          </w:p>
          <w:p w14:paraId="6680F6EB">
            <w:pPr>
              <w:rPr>
                <w:rFonts w:ascii="仿宋_GB2312" w:eastAsia="仿宋_GB2312"/>
                <w:sz w:val="24"/>
                <w:szCs w:val="21"/>
              </w:rPr>
            </w:pPr>
          </w:p>
          <w:p w14:paraId="0C594771">
            <w:pPr>
              <w:rPr>
                <w:rFonts w:ascii="仿宋_GB2312" w:eastAsia="仿宋_GB2312"/>
                <w:sz w:val="24"/>
                <w:szCs w:val="21"/>
              </w:rPr>
            </w:pPr>
          </w:p>
          <w:p w14:paraId="685E39CE">
            <w:pPr>
              <w:rPr>
                <w:rFonts w:ascii="仿宋_GB2312" w:eastAsia="仿宋_GB2312"/>
                <w:sz w:val="24"/>
                <w:szCs w:val="21"/>
              </w:rPr>
            </w:pPr>
          </w:p>
          <w:p w14:paraId="3A6461BF">
            <w:pPr>
              <w:rPr>
                <w:rFonts w:ascii="仿宋_GB2312" w:eastAsia="仿宋_GB2312"/>
                <w:sz w:val="24"/>
                <w:szCs w:val="21"/>
              </w:rPr>
            </w:pPr>
          </w:p>
          <w:p w14:paraId="3876EA3A">
            <w:pPr>
              <w:rPr>
                <w:rFonts w:ascii="仿宋_GB2312" w:eastAsia="仿宋_GB2312"/>
                <w:sz w:val="24"/>
                <w:szCs w:val="21"/>
              </w:rPr>
            </w:pPr>
          </w:p>
          <w:p w14:paraId="0800FB94">
            <w:pPr>
              <w:rPr>
                <w:rFonts w:ascii="仿宋_GB2312" w:eastAsia="仿宋_GB2312"/>
                <w:sz w:val="24"/>
                <w:szCs w:val="21"/>
              </w:rPr>
            </w:pPr>
          </w:p>
          <w:p w14:paraId="7D5DA506">
            <w:pPr>
              <w:rPr>
                <w:rFonts w:ascii="仿宋_GB2312" w:eastAsia="仿宋_GB2312"/>
                <w:sz w:val="24"/>
                <w:szCs w:val="21"/>
              </w:rPr>
            </w:pPr>
          </w:p>
          <w:p w14:paraId="29A8EBDE">
            <w:pPr>
              <w:rPr>
                <w:rFonts w:ascii="仿宋_GB2312" w:eastAsia="仿宋_GB2312"/>
                <w:sz w:val="24"/>
                <w:szCs w:val="21"/>
              </w:rPr>
            </w:pPr>
            <w:r>
              <w:rPr>
                <w:rFonts w:hint="eastAsia" w:ascii="仿宋_GB2312" w:eastAsia="仿宋_GB2312"/>
                <w:sz w:val="24"/>
                <w:szCs w:val="21"/>
              </w:rPr>
              <w:t>（二）主要研究方法</w:t>
            </w:r>
          </w:p>
          <w:p w14:paraId="71B906BB">
            <w:pPr>
              <w:rPr>
                <w:rFonts w:ascii="仿宋_GB2312" w:eastAsia="仿宋_GB2312"/>
                <w:sz w:val="24"/>
                <w:szCs w:val="21"/>
              </w:rPr>
            </w:pPr>
          </w:p>
          <w:p w14:paraId="693916B5">
            <w:pPr>
              <w:rPr>
                <w:rFonts w:ascii="仿宋_GB2312" w:eastAsia="仿宋_GB2312"/>
                <w:sz w:val="24"/>
                <w:szCs w:val="21"/>
              </w:rPr>
            </w:pPr>
          </w:p>
          <w:p w14:paraId="45154070">
            <w:pPr>
              <w:rPr>
                <w:rFonts w:ascii="仿宋_GB2312" w:eastAsia="仿宋_GB2312"/>
                <w:sz w:val="24"/>
                <w:szCs w:val="21"/>
              </w:rPr>
            </w:pPr>
          </w:p>
          <w:p w14:paraId="205C455F">
            <w:pPr>
              <w:rPr>
                <w:rFonts w:ascii="仿宋_GB2312" w:eastAsia="仿宋_GB2312"/>
                <w:color w:val="000000"/>
                <w:sz w:val="24"/>
                <w:szCs w:val="21"/>
              </w:rPr>
            </w:pPr>
          </w:p>
          <w:p w14:paraId="42843589">
            <w:pPr>
              <w:rPr>
                <w:rFonts w:ascii="仿宋_GB2312" w:eastAsia="仿宋_GB2312"/>
                <w:color w:val="000000"/>
                <w:sz w:val="24"/>
                <w:szCs w:val="21"/>
              </w:rPr>
            </w:pPr>
          </w:p>
          <w:p w14:paraId="3DED07F9">
            <w:pPr>
              <w:rPr>
                <w:rFonts w:ascii="仿宋_GB2312" w:eastAsia="仿宋_GB2312"/>
                <w:color w:val="000000"/>
                <w:sz w:val="24"/>
                <w:szCs w:val="21"/>
              </w:rPr>
            </w:pPr>
          </w:p>
          <w:p w14:paraId="1C3658FC">
            <w:pPr>
              <w:rPr>
                <w:rFonts w:ascii="仿宋_GB2312" w:eastAsia="仿宋_GB2312"/>
                <w:color w:val="000000"/>
                <w:sz w:val="24"/>
                <w:szCs w:val="21"/>
              </w:rPr>
            </w:pPr>
          </w:p>
          <w:p w14:paraId="6958B5D8">
            <w:pPr>
              <w:rPr>
                <w:rFonts w:ascii="仿宋_GB2312" w:eastAsia="仿宋_GB2312"/>
                <w:color w:val="000000"/>
                <w:sz w:val="24"/>
                <w:szCs w:val="21"/>
              </w:rPr>
            </w:pPr>
            <w:r>
              <w:rPr>
                <w:rFonts w:hint="eastAsia" w:ascii="仿宋_GB2312" w:eastAsia="仿宋_GB2312"/>
                <w:color w:val="000000"/>
                <w:sz w:val="24"/>
                <w:szCs w:val="21"/>
              </w:rPr>
              <w:t>（三）研究步骤和时间（按年度进展情况）</w:t>
            </w:r>
          </w:p>
          <w:p w14:paraId="7FE93891">
            <w:pPr>
              <w:ind w:left="360"/>
              <w:rPr>
                <w:rFonts w:ascii="仿宋_GB2312" w:eastAsia="仿宋_GB2312"/>
                <w:color w:val="000000"/>
                <w:sz w:val="24"/>
                <w:szCs w:val="21"/>
              </w:rPr>
            </w:pPr>
          </w:p>
          <w:p w14:paraId="55F281EB">
            <w:pPr>
              <w:rPr>
                <w:rFonts w:ascii="仿宋_GB2312" w:eastAsia="仿宋_GB2312" w:cs="Calibri"/>
                <w:sz w:val="24"/>
                <w:szCs w:val="21"/>
              </w:rPr>
            </w:pPr>
          </w:p>
          <w:p w14:paraId="628679CC">
            <w:pPr>
              <w:rPr>
                <w:rFonts w:ascii="仿宋_GB2312" w:eastAsia="仿宋_GB2312" w:cs="Calibri"/>
                <w:sz w:val="24"/>
                <w:szCs w:val="21"/>
              </w:rPr>
            </w:pPr>
          </w:p>
          <w:p w14:paraId="3B40A5B3">
            <w:pPr>
              <w:rPr>
                <w:rFonts w:ascii="仿宋_GB2312" w:eastAsia="仿宋_GB2312" w:cs="Calibri"/>
                <w:sz w:val="24"/>
                <w:szCs w:val="21"/>
              </w:rPr>
            </w:pPr>
          </w:p>
          <w:p w14:paraId="3FE9AAEF">
            <w:pPr>
              <w:rPr>
                <w:rFonts w:ascii="仿宋_GB2312" w:eastAsia="仿宋_GB2312" w:cs="Calibri"/>
                <w:sz w:val="24"/>
                <w:szCs w:val="21"/>
              </w:rPr>
            </w:pPr>
          </w:p>
          <w:p w14:paraId="433931C6">
            <w:pPr>
              <w:rPr>
                <w:rFonts w:ascii="仿宋_GB2312" w:eastAsia="仿宋_GB2312" w:cs="Calibri"/>
                <w:sz w:val="24"/>
                <w:szCs w:val="21"/>
              </w:rPr>
            </w:pPr>
          </w:p>
          <w:p w14:paraId="0C5CDD1B">
            <w:pPr>
              <w:rPr>
                <w:rFonts w:ascii="仿宋_GB2312" w:eastAsia="仿宋_GB2312" w:cs="Calibri"/>
                <w:sz w:val="24"/>
                <w:szCs w:val="21"/>
              </w:rPr>
            </w:pPr>
          </w:p>
          <w:p w14:paraId="1FB35531">
            <w:pPr>
              <w:rPr>
                <w:rFonts w:ascii="仿宋_GB2312" w:eastAsia="仿宋_GB2312" w:cs="Calibri"/>
                <w:sz w:val="24"/>
                <w:szCs w:val="21"/>
              </w:rPr>
            </w:pPr>
          </w:p>
          <w:p w14:paraId="37009B70">
            <w:pPr>
              <w:rPr>
                <w:rFonts w:ascii="仿宋_GB2312" w:eastAsia="仿宋_GB2312" w:cs="Calibri"/>
                <w:sz w:val="24"/>
                <w:szCs w:val="21"/>
              </w:rPr>
            </w:pPr>
          </w:p>
          <w:p w14:paraId="0B84C34B">
            <w:pPr>
              <w:rPr>
                <w:rFonts w:ascii="仿宋_GB2312" w:eastAsia="仿宋_GB2312" w:cs="Calibri"/>
                <w:sz w:val="24"/>
                <w:szCs w:val="21"/>
              </w:rPr>
            </w:pPr>
          </w:p>
          <w:p w14:paraId="7C6ED6F4">
            <w:pPr>
              <w:rPr>
                <w:rFonts w:ascii="仿宋_GB2312" w:eastAsia="仿宋_GB2312" w:cs="Calibri"/>
                <w:sz w:val="24"/>
                <w:szCs w:val="21"/>
              </w:rPr>
            </w:pPr>
          </w:p>
          <w:p w14:paraId="6147F922">
            <w:pPr>
              <w:rPr>
                <w:rFonts w:ascii="仿宋_GB2312" w:eastAsia="仿宋_GB2312" w:cs="Calibri"/>
                <w:sz w:val="24"/>
                <w:szCs w:val="21"/>
              </w:rPr>
            </w:pPr>
          </w:p>
          <w:p w14:paraId="1F4F7A51">
            <w:pPr>
              <w:rPr>
                <w:rFonts w:ascii="仿宋_GB2312" w:eastAsia="仿宋_GB2312" w:cs="Calibri"/>
                <w:sz w:val="24"/>
                <w:szCs w:val="21"/>
              </w:rPr>
            </w:pPr>
          </w:p>
          <w:p w14:paraId="22F5D3B7">
            <w:pPr>
              <w:rPr>
                <w:rFonts w:ascii="仿宋_GB2312" w:eastAsia="仿宋_GB2312" w:cs="Calibri"/>
                <w:sz w:val="24"/>
                <w:szCs w:val="21"/>
              </w:rPr>
            </w:pPr>
          </w:p>
          <w:p w14:paraId="6E110BA0">
            <w:pPr>
              <w:rPr>
                <w:rFonts w:ascii="仿宋_GB2312" w:eastAsia="仿宋_GB2312" w:cs="Calibri"/>
                <w:sz w:val="24"/>
                <w:szCs w:val="21"/>
              </w:rPr>
            </w:pPr>
          </w:p>
        </w:tc>
      </w:tr>
    </w:tbl>
    <w:p w14:paraId="4EFB004E">
      <w:pPr>
        <w:spacing w:line="585" w:lineRule="exact"/>
        <w:ind w:firstLine="640" w:firstLineChars="200"/>
        <w:rPr>
          <w:rFonts w:eastAsia="黑体" w:cs="Calibri"/>
          <w:sz w:val="32"/>
          <w:szCs w:val="21"/>
        </w:rPr>
      </w:pPr>
      <w:r>
        <w:rPr>
          <w:rFonts w:hint="eastAsia" w:eastAsia="黑体" w:cs="Calibri"/>
          <w:sz w:val="32"/>
          <w:szCs w:val="21"/>
        </w:rPr>
        <w:t>五、预期研究成果</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539"/>
        <w:gridCol w:w="1677"/>
        <w:gridCol w:w="1678"/>
        <w:gridCol w:w="1678"/>
      </w:tblGrid>
      <w:tr w14:paraId="4EDC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7C292F1E">
            <w:pPr>
              <w:jc w:val="center"/>
              <w:rPr>
                <w:rFonts w:ascii="仿宋_GB2312" w:hAnsi="宋体" w:eastAsia="仿宋_GB2312"/>
                <w:sz w:val="24"/>
                <w:szCs w:val="21"/>
              </w:rPr>
            </w:pPr>
            <w:r>
              <w:rPr>
                <w:rFonts w:hint="eastAsia" w:ascii="仿宋_GB2312" w:hAnsi="宋体" w:eastAsia="仿宋_GB2312"/>
                <w:sz w:val="24"/>
                <w:szCs w:val="21"/>
              </w:rPr>
              <w:t>序号</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2F264684">
            <w:pPr>
              <w:jc w:val="left"/>
              <w:rPr>
                <w:rFonts w:ascii="仿宋_GB2312" w:hAnsi="宋体" w:eastAsia="仿宋_GB2312"/>
                <w:sz w:val="24"/>
                <w:szCs w:val="21"/>
              </w:rPr>
            </w:pPr>
            <w:r>
              <w:rPr>
                <w:rFonts w:hint="eastAsia" w:ascii="仿宋_GB2312" w:hAnsi="宋体" w:eastAsia="仿宋_GB2312"/>
                <w:sz w:val="24"/>
                <w:szCs w:val="21"/>
              </w:rPr>
              <w:t>研究阶段（起止时间）</w:t>
            </w: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223F8ECC">
            <w:pPr>
              <w:jc w:val="center"/>
              <w:rPr>
                <w:rFonts w:ascii="仿宋_GB2312" w:hAnsi="宋体" w:eastAsia="仿宋_GB2312"/>
                <w:sz w:val="24"/>
                <w:szCs w:val="21"/>
              </w:rPr>
            </w:pPr>
            <w:r>
              <w:rPr>
                <w:rFonts w:hint="eastAsia" w:ascii="仿宋_GB2312" w:hAnsi="宋体" w:eastAsia="仿宋_GB2312"/>
                <w:sz w:val="24"/>
                <w:szCs w:val="21"/>
              </w:rPr>
              <w:t>成果名称</w:t>
            </w: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5A6B6F98">
            <w:pPr>
              <w:jc w:val="center"/>
              <w:rPr>
                <w:rFonts w:ascii="仿宋_GB2312" w:hAnsi="宋体" w:eastAsia="仿宋_GB2312"/>
                <w:sz w:val="24"/>
                <w:szCs w:val="21"/>
              </w:rPr>
            </w:pPr>
            <w:r>
              <w:rPr>
                <w:rFonts w:hint="eastAsia" w:ascii="仿宋_GB2312" w:hAnsi="宋体" w:eastAsia="仿宋_GB2312"/>
                <w:sz w:val="24"/>
                <w:szCs w:val="21"/>
              </w:rPr>
              <w:t>成果形式</w:t>
            </w: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0C2801EF">
            <w:pPr>
              <w:jc w:val="center"/>
              <w:rPr>
                <w:rFonts w:ascii="仿宋_GB2312" w:hAnsi="宋体" w:eastAsia="仿宋_GB2312"/>
                <w:sz w:val="24"/>
                <w:szCs w:val="21"/>
              </w:rPr>
            </w:pPr>
            <w:r>
              <w:rPr>
                <w:rFonts w:hint="eastAsia" w:ascii="仿宋_GB2312" w:hAnsi="宋体" w:eastAsia="仿宋_GB2312"/>
                <w:sz w:val="24"/>
                <w:szCs w:val="21"/>
              </w:rPr>
              <w:t>承担人</w:t>
            </w:r>
          </w:p>
        </w:tc>
      </w:tr>
      <w:tr w14:paraId="16C5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38040489">
            <w:pPr>
              <w:spacing w:line="360" w:lineRule="exact"/>
              <w:jc w:val="center"/>
              <w:rPr>
                <w:rFonts w:ascii="仿宋_GB2312" w:eastAsia="仿宋_GB2312" w:cs="Calibri"/>
                <w:sz w:val="24"/>
              </w:rPr>
            </w:pPr>
            <w:r>
              <w:rPr>
                <w:rFonts w:hint="eastAsia" w:ascii="仿宋_GB2312" w:eastAsia="仿宋_GB2312" w:cs="Calibri"/>
                <w:sz w:val="24"/>
              </w:rPr>
              <w:t>1</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64774899">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5AEA7625">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014A312D">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B8FA723">
            <w:pPr>
              <w:spacing w:line="360" w:lineRule="exact"/>
              <w:jc w:val="center"/>
              <w:rPr>
                <w:rFonts w:ascii="仿宋_GB2312" w:eastAsia="仿宋_GB2312" w:cs="Calibri"/>
                <w:sz w:val="24"/>
              </w:rPr>
            </w:pPr>
          </w:p>
        </w:tc>
      </w:tr>
      <w:tr w14:paraId="0C88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3F87A789">
            <w:pPr>
              <w:spacing w:line="360" w:lineRule="exact"/>
              <w:jc w:val="center"/>
              <w:rPr>
                <w:rFonts w:ascii="仿宋_GB2312" w:eastAsia="仿宋_GB2312" w:cs="Calibri"/>
                <w:sz w:val="24"/>
              </w:rPr>
            </w:pPr>
            <w:r>
              <w:rPr>
                <w:rFonts w:hint="eastAsia" w:ascii="仿宋_GB2312" w:eastAsia="仿宋_GB2312" w:cs="Calibri"/>
                <w:sz w:val="24"/>
              </w:rPr>
              <w:t>2</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1D040277">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567BC0C6">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7447D45D">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0C5CCD4">
            <w:pPr>
              <w:spacing w:line="360" w:lineRule="exact"/>
              <w:jc w:val="center"/>
              <w:rPr>
                <w:rFonts w:ascii="仿宋_GB2312" w:eastAsia="仿宋_GB2312" w:cs="Calibri"/>
                <w:sz w:val="24"/>
              </w:rPr>
            </w:pPr>
          </w:p>
        </w:tc>
      </w:tr>
      <w:tr w14:paraId="1482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6CE18DF6">
            <w:pPr>
              <w:spacing w:line="360" w:lineRule="exact"/>
              <w:jc w:val="center"/>
              <w:rPr>
                <w:rFonts w:ascii="仿宋_GB2312" w:eastAsia="仿宋_GB2312" w:cs="Calibri"/>
                <w:sz w:val="24"/>
              </w:rPr>
            </w:pPr>
            <w:r>
              <w:rPr>
                <w:rFonts w:hint="eastAsia" w:ascii="仿宋_GB2312" w:eastAsia="仿宋_GB2312" w:cs="Calibri"/>
                <w:sz w:val="24"/>
              </w:rPr>
              <w:t>3</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5BF39EC3">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1E85F14E">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2B28C52E">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1BAFC3C5">
            <w:pPr>
              <w:spacing w:line="360" w:lineRule="exact"/>
              <w:jc w:val="center"/>
              <w:rPr>
                <w:rFonts w:ascii="仿宋_GB2312" w:eastAsia="仿宋_GB2312" w:cs="Calibri"/>
                <w:sz w:val="24"/>
              </w:rPr>
            </w:pPr>
          </w:p>
        </w:tc>
      </w:tr>
      <w:tr w14:paraId="5CB7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14F62D3E">
            <w:pPr>
              <w:spacing w:line="360" w:lineRule="exact"/>
              <w:jc w:val="center"/>
              <w:rPr>
                <w:rFonts w:ascii="仿宋_GB2312" w:eastAsia="仿宋_GB2312" w:cs="Calibri"/>
                <w:sz w:val="24"/>
              </w:rPr>
            </w:pPr>
            <w:r>
              <w:rPr>
                <w:rFonts w:hint="eastAsia" w:ascii="仿宋_GB2312" w:eastAsia="仿宋_GB2312" w:cs="Calibri"/>
                <w:sz w:val="24"/>
              </w:rPr>
              <w:t>4</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55EFD623">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484960BF">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7EA78106">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6A4C343">
            <w:pPr>
              <w:spacing w:line="360" w:lineRule="exact"/>
              <w:jc w:val="center"/>
              <w:rPr>
                <w:rFonts w:ascii="仿宋_GB2312" w:eastAsia="仿宋_GB2312" w:cs="Calibri"/>
                <w:sz w:val="24"/>
              </w:rPr>
            </w:pPr>
          </w:p>
        </w:tc>
      </w:tr>
      <w:tr w14:paraId="5EBC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2FBF7FE3">
            <w:pPr>
              <w:spacing w:line="360" w:lineRule="exact"/>
              <w:jc w:val="center"/>
              <w:rPr>
                <w:rFonts w:ascii="仿宋_GB2312" w:eastAsia="仿宋_GB2312" w:cs="Calibri"/>
                <w:sz w:val="24"/>
              </w:rPr>
            </w:pPr>
            <w:r>
              <w:rPr>
                <w:rFonts w:hint="eastAsia" w:ascii="仿宋_GB2312" w:eastAsia="仿宋_GB2312" w:cs="Calibri"/>
                <w:sz w:val="24"/>
              </w:rPr>
              <w:t>5</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2F9C4B48">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56334EB5">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26540622">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106E7B89">
            <w:pPr>
              <w:spacing w:line="360" w:lineRule="exact"/>
              <w:jc w:val="center"/>
              <w:rPr>
                <w:rFonts w:ascii="仿宋_GB2312" w:eastAsia="仿宋_GB2312" w:cs="Calibri"/>
                <w:sz w:val="24"/>
              </w:rPr>
            </w:pPr>
          </w:p>
        </w:tc>
      </w:tr>
      <w:tr w14:paraId="293F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561C2125">
            <w:pPr>
              <w:spacing w:line="360" w:lineRule="exact"/>
              <w:jc w:val="center"/>
              <w:rPr>
                <w:rFonts w:ascii="仿宋_GB2312" w:eastAsia="仿宋_GB2312" w:cs="Calibri"/>
                <w:sz w:val="24"/>
              </w:rPr>
            </w:pPr>
            <w:r>
              <w:rPr>
                <w:rFonts w:hint="eastAsia" w:ascii="仿宋_GB2312" w:eastAsia="仿宋_GB2312" w:cs="Calibri"/>
                <w:sz w:val="24"/>
              </w:rPr>
              <w:t>6</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5EF4F576">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6F29216B">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51DD1D30">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C01411F">
            <w:pPr>
              <w:spacing w:line="360" w:lineRule="exact"/>
              <w:jc w:val="center"/>
              <w:rPr>
                <w:rFonts w:ascii="仿宋_GB2312" w:eastAsia="仿宋_GB2312" w:cs="Calibri"/>
                <w:sz w:val="24"/>
              </w:rPr>
            </w:pPr>
          </w:p>
        </w:tc>
      </w:tr>
      <w:tr w14:paraId="08A0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7FFE0350">
            <w:pPr>
              <w:spacing w:line="360" w:lineRule="exact"/>
              <w:jc w:val="center"/>
              <w:rPr>
                <w:rFonts w:ascii="仿宋_GB2312" w:eastAsia="仿宋_GB2312" w:cs="Calibri"/>
                <w:sz w:val="24"/>
              </w:rPr>
            </w:pPr>
            <w:r>
              <w:rPr>
                <w:rFonts w:hint="eastAsia" w:ascii="仿宋_GB2312" w:eastAsia="仿宋_GB2312" w:cs="Calibri"/>
                <w:sz w:val="24"/>
              </w:rPr>
              <w:t>7</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5A327A00">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669E948C">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108CDF7">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264ABAA6">
            <w:pPr>
              <w:spacing w:line="360" w:lineRule="exact"/>
              <w:jc w:val="center"/>
              <w:rPr>
                <w:rFonts w:ascii="仿宋_GB2312" w:eastAsia="仿宋_GB2312" w:cs="Calibri"/>
                <w:sz w:val="24"/>
              </w:rPr>
            </w:pPr>
          </w:p>
        </w:tc>
      </w:tr>
      <w:tr w14:paraId="4E0E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6C1D4CDF">
            <w:pPr>
              <w:spacing w:line="360" w:lineRule="exact"/>
              <w:jc w:val="center"/>
              <w:rPr>
                <w:rFonts w:ascii="仿宋_GB2312" w:eastAsia="仿宋_GB2312" w:cs="Calibri"/>
                <w:sz w:val="24"/>
              </w:rPr>
            </w:pPr>
            <w:r>
              <w:rPr>
                <w:rFonts w:hint="eastAsia" w:ascii="仿宋_GB2312" w:eastAsia="仿宋_GB2312" w:cs="Calibri"/>
                <w:sz w:val="24"/>
              </w:rPr>
              <w:t>8</w:t>
            </w:r>
          </w:p>
        </w:tc>
        <w:tc>
          <w:tcPr>
            <w:tcW w:w="2539" w:type="dxa"/>
            <w:tcBorders>
              <w:top w:val="single" w:color="auto" w:sz="4" w:space="0"/>
              <w:left w:val="single" w:color="auto" w:sz="4" w:space="0"/>
              <w:bottom w:val="single" w:color="auto" w:sz="4" w:space="0"/>
              <w:right w:val="single" w:color="auto" w:sz="4" w:space="0"/>
              <w:tl2br w:val="nil"/>
              <w:tr2bl w:val="nil"/>
            </w:tcBorders>
            <w:vAlign w:val="center"/>
          </w:tcPr>
          <w:p w14:paraId="3F34E37A">
            <w:pPr>
              <w:spacing w:line="360" w:lineRule="exact"/>
              <w:jc w:val="center"/>
              <w:rPr>
                <w:rFonts w:ascii="仿宋_GB2312" w:eastAsia="仿宋_GB2312" w:cs="Calibri"/>
                <w:sz w:val="24"/>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168D6D0A">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10C827B2">
            <w:pPr>
              <w:spacing w:line="360" w:lineRule="exact"/>
              <w:jc w:val="center"/>
              <w:rPr>
                <w:rFonts w:ascii="仿宋_GB2312" w:eastAsia="仿宋_GB2312" w:cs="Calibri"/>
                <w:sz w:val="24"/>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A3B68A6">
            <w:pPr>
              <w:spacing w:line="360" w:lineRule="exact"/>
              <w:jc w:val="center"/>
              <w:rPr>
                <w:rFonts w:ascii="仿宋_GB2312" w:eastAsia="仿宋_GB2312" w:cs="Calibri"/>
                <w:sz w:val="24"/>
              </w:rPr>
            </w:pPr>
          </w:p>
        </w:tc>
      </w:tr>
    </w:tbl>
    <w:p w14:paraId="0E9485D5">
      <w:pPr>
        <w:spacing w:line="585" w:lineRule="exact"/>
        <w:ind w:firstLine="640" w:firstLineChars="200"/>
        <w:rPr>
          <w:rFonts w:eastAsia="黑体" w:cs="Calibri"/>
          <w:sz w:val="32"/>
          <w:szCs w:val="21"/>
        </w:rPr>
      </w:pPr>
      <w:r>
        <w:rPr>
          <w:rFonts w:hint="eastAsia" w:eastAsia="黑体" w:cs="Calibri"/>
          <w:sz w:val="32"/>
          <w:szCs w:val="21"/>
        </w:rPr>
        <w:t>六、课题负责人所在学校审批意见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128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0" w:hRule="atLeast"/>
          <w:jc w:val="center"/>
        </w:trPr>
        <w:tc>
          <w:tcPr>
            <w:tcW w:w="8522" w:type="dxa"/>
            <w:tcBorders>
              <w:top w:val="single" w:color="auto" w:sz="4" w:space="0"/>
              <w:left w:val="single" w:color="auto" w:sz="4" w:space="0"/>
              <w:bottom w:val="single" w:color="auto" w:sz="4" w:space="0"/>
              <w:right w:val="single" w:color="auto" w:sz="4" w:space="0"/>
              <w:tl2br w:val="nil"/>
              <w:tr2bl w:val="nil"/>
            </w:tcBorders>
          </w:tcPr>
          <w:p w14:paraId="100AE699">
            <w:pPr>
              <w:rPr>
                <w:rFonts w:ascii="仿宋_GB2312" w:eastAsia="仿宋_GB2312" w:cs="Calibri"/>
                <w:sz w:val="24"/>
                <w:szCs w:val="21"/>
              </w:rPr>
            </w:pPr>
          </w:p>
          <w:p w14:paraId="4A652FEA">
            <w:pPr>
              <w:rPr>
                <w:rFonts w:ascii="仿宋_GB2312" w:eastAsia="仿宋_GB2312" w:cs="Calibri"/>
                <w:sz w:val="24"/>
                <w:szCs w:val="21"/>
              </w:rPr>
            </w:pPr>
          </w:p>
          <w:p w14:paraId="67A7FE89">
            <w:pPr>
              <w:rPr>
                <w:rFonts w:ascii="仿宋_GB2312" w:eastAsia="仿宋_GB2312" w:cs="Calibri"/>
                <w:sz w:val="24"/>
                <w:szCs w:val="21"/>
              </w:rPr>
            </w:pPr>
          </w:p>
          <w:p w14:paraId="5685B10B">
            <w:pPr>
              <w:rPr>
                <w:rFonts w:ascii="仿宋_GB2312" w:eastAsia="仿宋_GB2312" w:cs="Calibri"/>
                <w:sz w:val="24"/>
                <w:szCs w:val="21"/>
              </w:rPr>
            </w:pPr>
          </w:p>
          <w:p w14:paraId="60D0D78E">
            <w:pPr>
              <w:rPr>
                <w:rFonts w:ascii="仿宋_GB2312" w:eastAsia="仿宋_GB2312" w:cs="Calibri"/>
                <w:sz w:val="24"/>
                <w:szCs w:val="21"/>
              </w:rPr>
            </w:pPr>
          </w:p>
          <w:p w14:paraId="2FB19223">
            <w:pPr>
              <w:rPr>
                <w:rFonts w:ascii="仿宋_GB2312" w:eastAsia="仿宋_GB2312" w:cs="Calibri"/>
                <w:sz w:val="24"/>
                <w:szCs w:val="21"/>
              </w:rPr>
            </w:pPr>
          </w:p>
          <w:p w14:paraId="7DD79EFF">
            <w:pPr>
              <w:ind w:firstLine="5520" w:firstLineChars="2300"/>
              <w:rPr>
                <w:rFonts w:ascii="仿宋_GB2312" w:eastAsia="仿宋_GB2312" w:cs="Calibri"/>
                <w:sz w:val="24"/>
                <w:szCs w:val="21"/>
              </w:rPr>
            </w:pPr>
            <w:r>
              <w:rPr>
                <w:rFonts w:hint="eastAsia" w:ascii="仿宋_GB2312" w:eastAsia="仿宋_GB2312" w:cs="Calibri"/>
                <w:sz w:val="24"/>
                <w:szCs w:val="21"/>
              </w:rPr>
              <w:t>单位公章：</w:t>
            </w:r>
          </w:p>
          <w:p w14:paraId="09AB2124">
            <w:pPr>
              <w:ind w:firstLine="5280"/>
              <w:rPr>
                <w:rFonts w:ascii="仿宋_GB2312" w:eastAsia="仿宋_GB2312" w:cs="Calibri"/>
                <w:sz w:val="24"/>
                <w:szCs w:val="21"/>
              </w:rPr>
            </w:pPr>
            <w:r>
              <w:rPr>
                <w:rFonts w:hint="eastAsia" w:ascii="仿宋_GB2312" w:eastAsia="仿宋_GB2312" w:cs="Calibri"/>
                <w:sz w:val="24"/>
                <w:szCs w:val="21"/>
              </w:rPr>
              <w:t>单位负责人签名：</w:t>
            </w:r>
          </w:p>
          <w:p w14:paraId="1BDAA2FD">
            <w:pPr>
              <w:ind w:firstLine="5280"/>
              <w:rPr>
                <w:rFonts w:ascii="仿宋_GB2312" w:eastAsia="仿宋_GB2312" w:cs="Calibri"/>
                <w:sz w:val="24"/>
                <w:szCs w:val="21"/>
              </w:rPr>
            </w:pPr>
            <w:r>
              <w:rPr>
                <w:rFonts w:hint="eastAsia" w:ascii="仿宋_GB2312" w:eastAsia="仿宋_GB2312" w:cs="Calibri"/>
                <w:sz w:val="24"/>
                <w:szCs w:val="21"/>
              </w:rPr>
              <w:t xml:space="preserve">  年  月   日</w:t>
            </w:r>
          </w:p>
        </w:tc>
      </w:tr>
    </w:tbl>
    <w:p w14:paraId="34355B0E">
      <w:pPr>
        <w:spacing w:line="585" w:lineRule="exact"/>
        <w:ind w:firstLine="640" w:firstLineChars="200"/>
        <w:rPr>
          <w:rFonts w:eastAsia="黑体" w:cs="Calibri"/>
          <w:sz w:val="32"/>
          <w:szCs w:val="21"/>
        </w:rPr>
      </w:pPr>
      <w:r>
        <w:rPr>
          <w:rFonts w:hint="eastAsia" w:eastAsia="黑体" w:cs="Calibri"/>
          <w:sz w:val="32"/>
          <w:szCs w:val="21"/>
        </w:rPr>
        <w:t>七、课题负责人所在县（市、区）教研室审批意见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C48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0" w:hRule="atLeast"/>
          <w:jc w:val="center"/>
        </w:trPr>
        <w:tc>
          <w:tcPr>
            <w:tcW w:w="8522" w:type="dxa"/>
            <w:tcBorders>
              <w:top w:val="single" w:color="auto" w:sz="4" w:space="0"/>
              <w:left w:val="single" w:color="auto" w:sz="4" w:space="0"/>
              <w:bottom w:val="single" w:color="auto" w:sz="4" w:space="0"/>
              <w:right w:val="single" w:color="auto" w:sz="4" w:space="0"/>
              <w:tl2br w:val="nil"/>
              <w:tr2bl w:val="nil"/>
            </w:tcBorders>
          </w:tcPr>
          <w:p w14:paraId="77BA465B">
            <w:pPr>
              <w:rPr>
                <w:rFonts w:ascii="仿宋_GB2312" w:eastAsia="仿宋_GB2312" w:cs="Calibri"/>
                <w:sz w:val="24"/>
                <w:szCs w:val="21"/>
              </w:rPr>
            </w:pPr>
          </w:p>
          <w:p w14:paraId="225746E3">
            <w:pPr>
              <w:rPr>
                <w:rFonts w:ascii="仿宋_GB2312" w:eastAsia="仿宋_GB2312" w:cs="Calibri"/>
                <w:sz w:val="24"/>
                <w:szCs w:val="21"/>
              </w:rPr>
            </w:pPr>
          </w:p>
          <w:p w14:paraId="1F78F2AB">
            <w:pPr>
              <w:rPr>
                <w:rFonts w:ascii="仿宋_GB2312" w:eastAsia="仿宋_GB2312" w:cs="Calibri"/>
                <w:sz w:val="24"/>
                <w:szCs w:val="21"/>
              </w:rPr>
            </w:pPr>
          </w:p>
          <w:p w14:paraId="57E16A74">
            <w:pPr>
              <w:rPr>
                <w:rFonts w:ascii="仿宋_GB2312" w:eastAsia="仿宋_GB2312" w:cs="Calibri"/>
                <w:sz w:val="24"/>
                <w:szCs w:val="21"/>
              </w:rPr>
            </w:pPr>
          </w:p>
          <w:p w14:paraId="009AA1C1">
            <w:pPr>
              <w:rPr>
                <w:rFonts w:ascii="仿宋_GB2312" w:eastAsia="仿宋_GB2312" w:cs="Calibri"/>
                <w:sz w:val="24"/>
                <w:szCs w:val="21"/>
              </w:rPr>
            </w:pPr>
          </w:p>
          <w:p w14:paraId="3509775B">
            <w:pPr>
              <w:rPr>
                <w:rFonts w:ascii="仿宋_GB2312" w:eastAsia="仿宋_GB2312" w:cs="Calibri"/>
                <w:sz w:val="24"/>
                <w:szCs w:val="21"/>
              </w:rPr>
            </w:pPr>
          </w:p>
          <w:p w14:paraId="33D5E809">
            <w:pPr>
              <w:rPr>
                <w:rFonts w:ascii="仿宋_GB2312" w:eastAsia="仿宋_GB2312" w:cs="Calibri"/>
                <w:sz w:val="24"/>
                <w:szCs w:val="21"/>
              </w:rPr>
            </w:pPr>
          </w:p>
          <w:p w14:paraId="2F34BE87">
            <w:pPr>
              <w:ind w:firstLine="5520" w:firstLineChars="2300"/>
              <w:rPr>
                <w:rFonts w:ascii="仿宋_GB2312" w:eastAsia="仿宋_GB2312" w:cs="Calibri"/>
                <w:sz w:val="24"/>
                <w:szCs w:val="21"/>
              </w:rPr>
            </w:pPr>
            <w:r>
              <w:rPr>
                <w:rFonts w:hint="eastAsia" w:ascii="仿宋_GB2312" w:eastAsia="仿宋_GB2312" w:cs="Calibri"/>
                <w:sz w:val="24"/>
                <w:szCs w:val="21"/>
              </w:rPr>
              <w:t>单位公章：</w:t>
            </w:r>
          </w:p>
          <w:p w14:paraId="403F2DAA">
            <w:pPr>
              <w:ind w:firstLine="5280"/>
              <w:rPr>
                <w:rFonts w:ascii="仿宋_GB2312" w:eastAsia="仿宋_GB2312" w:cs="Calibri"/>
                <w:sz w:val="24"/>
                <w:szCs w:val="21"/>
              </w:rPr>
            </w:pPr>
            <w:r>
              <w:rPr>
                <w:rFonts w:hint="eastAsia" w:ascii="仿宋_GB2312" w:eastAsia="仿宋_GB2312" w:cs="Calibri"/>
                <w:sz w:val="24"/>
                <w:szCs w:val="21"/>
              </w:rPr>
              <w:t>单位负责人签名：</w:t>
            </w:r>
          </w:p>
          <w:p w14:paraId="50BC3C71">
            <w:pPr>
              <w:ind w:firstLine="5280"/>
              <w:rPr>
                <w:rFonts w:ascii="仿宋_GB2312" w:eastAsia="仿宋_GB2312" w:cs="Calibri"/>
                <w:sz w:val="24"/>
                <w:szCs w:val="21"/>
              </w:rPr>
            </w:pPr>
            <w:r>
              <w:rPr>
                <w:rFonts w:hint="eastAsia" w:ascii="仿宋_GB2312" w:eastAsia="仿宋_GB2312" w:cs="Calibri"/>
                <w:sz w:val="24"/>
                <w:szCs w:val="21"/>
              </w:rPr>
              <w:t xml:space="preserve">  年  月   日</w:t>
            </w:r>
          </w:p>
        </w:tc>
      </w:tr>
    </w:tbl>
    <w:p w14:paraId="4A0AA3E7">
      <w:pPr>
        <w:spacing w:line="585" w:lineRule="exact"/>
        <w:ind w:firstLine="640" w:firstLineChars="200"/>
        <w:rPr>
          <w:rFonts w:eastAsia="黑体" w:cs="Calibri"/>
          <w:sz w:val="32"/>
          <w:szCs w:val="21"/>
        </w:rPr>
      </w:pPr>
      <w:r>
        <w:rPr>
          <w:rFonts w:hint="eastAsia" w:eastAsia="黑体" w:cs="Calibri"/>
          <w:sz w:val="32"/>
          <w:szCs w:val="21"/>
        </w:rPr>
        <w:t>八、设区市教育局课题办（教研室）评审意见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0D7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5" w:hRule="atLeast"/>
          <w:jc w:val="center"/>
        </w:trPr>
        <w:tc>
          <w:tcPr>
            <w:tcW w:w="8522" w:type="dxa"/>
            <w:tcBorders>
              <w:top w:val="single" w:color="auto" w:sz="4" w:space="0"/>
              <w:left w:val="single" w:color="auto" w:sz="4" w:space="0"/>
              <w:bottom w:val="single" w:color="auto" w:sz="4" w:space="0"/>
              <w:right w:val="single" w:color="auto" w:sz="4" w:space="0"/>
              <w:tl2br w:val="nil"/>
              <w:tr2bl w:val="nil"/>
            </w:tcBorders>
          </w:tcPr>
          <w:p w14:paraId="21F24A91">
            <w:pPr>
              <w:rPr>
                <w:rFonts w:ascii="仿宋_GB2312" w:eastAsia="仿宋_GB2312" w:cs="Calibri"/>
                <w:sz w:val="24"/>
                <w:szCs w:val="21"/>
              </w:rPr>
            </w:pPr>
          </w:p>
          <w:p w14:paraId="18AB5EEA">
            <w:pPr>
              <w:rPr>
                <w:rFonts w:ascii="仿宋_GB2312" w:eastAsia="仿宋_GB2312" w:cs="Calibri"/>
                <w:sz w:val="24"/>
                <w:szCs w:val="21"/>
              </w:rPr>
            </w:pPr>
          </w:p>
          <w:p w14:paraId="59905A11">
            <w:pPr>
              <w:rPr>
                <w:rFonts w:ascii="仿宋_GB2312" w:eastAsia="仿宋_GB2312" w:cs="Calibri"/>
                <w:sz w:val="24"/>
                <w:szCs w:val="21"/>
              </w:rPr>
            </w:pPr>
          </w:p>
          <w:p w14:paraId="3657676C">
            <w:pPr>
              <w:rPr>
                <w:rFonts w:ascii="仿宋_GB2312" w:eastAsia="仿宋_GB2312" w:cs="Calibri"/>
                <w:sz w:val="24"/>
                <w:szCs w:val="21"/>
              </w:rPr>
            </w:pPr>
          </w:p>
          <w:p w14:paraId="665A3C4A">
            <w:pPr>
              <w:rPr>
                <w:rFonts w:ascii="仿宋_GB2312" w:eastAsia="仿宋_GB2312" w:cs="Calibri"/>
                <w:sz w:val="24"/>
                <w:szCs w:val="21"/>
              </w:rPr>
            </w:pPr>
          </w:p>
          <w:p w14:paraId="0C4B0B5D">
            <w:pPr>
              <w:rPr>
                <w:rFonts w:ascii="仿宋_GB2312" w:eastAsia="仿宋_GB2312" w:cs="Calibri"/>
                <w:sz w:val="24"/>
                <w:szCs w:val="21"/>
              </w:rPr>
            </w:pPr>
          </w:p>
          <w:p w14:paraId="22F3A105">
            <w:pPr>
              <w:rPr>
                <w:rFonts w:ascii="仿宋_GB2312" w:eastAsia="仿宋_GB2312" w:cs="Calibri"/>
                <w:sz w:val="24"/>
                <w:szCs w:val="21"/>
              </w:rPr>
            </w:pPr>
          </w:p>
          <w:p w14:paraId="2B45E5F9">
            <w:pPr>
              <w:rPr>
                <w:rFonts w:ascii="仿宋_GB2312" w:eastAsia="仿宋_GB2312" w:cs="Calibri"/>
                <w:sz w:val="24"/>
                <w:szCs w:val="21"/>
              </w:rPr>
            </w:pPr>
          </w:p>
          <w:p w14:paraId="069A416D">
            <w:pPr>
              <w:rPr>
                <w:rFonts w:ascii="仿宋_GB2312" w:eastAsia="仿宋_GB2312" w:cs="Calibri"/>
                <w:sz w:val="24"/>
                <w:szCs w:val="21"/>
              </w:rPr>
            </w:pPr>
          </w:p>
          <w:p w14:paraId="4D34AB48">
            <w:pPr>
              <w:rPr>
                <w:rFonts w:ascii="仿宋_GB2312" w:eastAsia="仿宋_GB2312" w:cs="Calibri"/>
                <w:sz w:val="24"/>
                <w:szCs w:val="21"/>
              </w:rPr>
            </w:pPr>
          </w:p>
          <w:p w14:paraId="25658D13">
            <w:pPr>
              <w:rPr>
                <w:rFonts w:ascii="仿宋_GB2312" w:eastAsia="仿宋_GB2312" w:cs="Calibri"/>
                <w:sz w:val="24"/>
                <w:szCs w:val="21"/>
              </w:rPr>
            </w:pPr>
          </w:p>
          <w:p w14:paraId="707A582A">
            <w:pPr>
              <w:rPr>
                <w:rFonts w:ascii="仿宋_GB2312" w:eastAsia="仿宋_GB2312" w:cs="Calibri"/>
                <w:sz w:val="24"/>
                <w:szCs w:val="21"/>
              </w:rPr>
            </w:pPr>
          </w:p>
          <w:p w14:paraId="3F2BB339">
            <w:pPr>
              <w:rPr>
                <w:rFonts w:ascii="仿宋_GB2312" w:eastAsia="仿宋_GB2312" w:cs="Calibri"/>
                <w:sz w:val="24"/>
                <w:szCs w:val="21"/>
              </w:rPr>
            </w:pPr>
          </w:p>
          <w:p w14:paraId="620437B8">
            <w:pPr>
              <w:rPr>
                <w:rFonts w:ascii="仿宋_GB2312" w:eastAsia="仿宋_GB2312" w:cs="Calibri"/>
                <w:sz w:val="24"/>
                <w:szCs w:val="21"/>
              </w:rPr>
            </w:pPr>
          </w:p>
          <w:p w14:paraId="3977C41A">
            <w:pPr>
              <w:ind w:firstLine="5520" w:firstLineChars="2300"/>
              <w:rPr>
                <w:rFonts w:ascii="仿宋_GB2312" w:eastAsia="仿宋_GB2312" w:cs="Calibri"/>
                <w:sz w:val="24"/>
                <w:szCs w:val="21"/>
              </w:rPr>
            </w:pPr>
            <w:r>
              <w:rPr>
                <w:rFonts w:hint="eastAsia" w:ascii="仿宋_GB2312" w:eastAsia="仿宋_GB2312" w:cs="Calibri"/>
                <w:sz w:val="24"/>
                <w:szCs w:val="21"/>
              </w:rPr>
              <w:t>单位公章：</w:t>
            </w:r>
          </w:p>
          <w:p w14:paraId="09D4F50C">
            <w:pPr>
              <w:ind w:firstLine="5280"/>
              <w:rPr>
                <w:rFonts w:ascii="仿宋_GB2312" w:eastAsia="仿宋_GB2312" w:cs="Calibri"/>
                <w:sz w:val="24"/>
                <w:szCs w:val="21"/>
              </w:rPr>
            </w:pPr>
            <w:r>
              <w:rPr>
                <w:rFonts w:hint="eastAsia" w:ascii="仿宋_GB2312" w:eastAsia="仿宋_GB2312" w:cs="Calibri"/>
                <w:sz w:val="24"/>
                <w:szCs w:val="21"/>
              </w:rPr>
              <w:t>单位负责人签名：</w:t>
            </w:r>
          </w:p>
          <w:p w14:paraId="53511414">
            <w:pPr>
              <w:ind w:firstLine="5280"/>
              <w:rPr>
                <w:rFonts w:ascii="仿宋_GB2312" w:eastAsia="仿宋_GB2312" w:cs="Calibri"/>
                <w:sz w:val="24"/>
                <w:szCs w:val="21"/>
              </w:rPr>
            </w:pPr>
            <w:r>
              <w:rPr>
                <w:rFonts w:hint="eastAsia" w:ascii="仿宋_GB2312" w:eastAsia="仿宋_GB2312" w:cs="Calibri"/>
                <w:sz w:val="24"/>
                <w:szCs w:val="21"/>
              </w:rPr>
              <w:t xml:space="preserve">  年  月   日</w:t>
            </w:r>
          </w:p>
        </w:tc>
      </w:tr>
    </w:tbl>
    <w:p w14:paraId="44C0C06A">
      <w:pPr>
        <w:spacing w:line="585" w:lineRule="exact"/>
        <w:ind w:firstLine="640" w:firstLineChars="200"/>
        <w:rPr>
          <w:rFonts w:eastAsia="黑体" w:cs="Calibri"/>
          <w:sz w:val="32"/>
          <w:szCs w:val="21"/>
        </w:rPr>
      </w:pPr>
      <w:r>
        <w:rPr>
          <w:rFonts w:hint="eastAsia" w:eastAsia="黑体" w:cs="Calibri"/>
          <w:sz w:val="32"/>
          <w:szCs w:val="21"/>
        </w:rPr>
        <w:t>九、省课题研究与实验基地领导小组办公室意见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0"/>
      </w:tblGrid>
      <w:tr w14:paraId="418E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6" w:hRule="atLeast"/>
          <w:jc w:val="center"/>
        </w:trPr>
        <w:tc>
          <w:tcPr>
            <w:tcW w:w="8480" w:type="dxa"/>
            <w:tcBorders>
              <w:top w:val="single" w:color="auto" w:sz="4" w:space="0"/>
              <w:left w:val="single" w:color="auto" w:sz="4" w:space="0"/>
              <w:bottom w:val="single" w:color="auto" w:sz="4" w:space="0"/>
              <w:right w:val="single" w:color="auto" w:sz="4" w:space="0"/>
              <w:tl2br w:val="nil"/>
              <w:tr2bl w:val="nil"/>
            </w:tcBorders>
          </w:tcPr>
          <w:p w14:paraId="4637B959">
            <w:pPr>
              <w:rPr>
                <w:rFonts w:ascii="仿宋_GB2312" w:eastAsia="仿宋_GB2312" w:cs="Calibri"/>
                <w:sz w:val="24"/>
                <w:szCs w:val="21"/>
              </w:rPr>
            </w:pPr>
          </w:p>
          <w:p w14:paraId="458BF9DB">
            <w:pPr>
              <w:rPr>
                <w:rFonts w:ascii="仿宋_GB2312" w:eastAsia="仿宋_GB2312" w:cs="Calibri"/>
                <w:sz w:val="24"/>
                <w:szCs w:val="21"/>
              </w:rPr>
            </w:pPr>
          </w:p>
          <w:p w14:paraId="3EC984BB">
            <w:pPr>
              <w:rPr>
                <w:rFonts w:ascii="仿宋_GB2312" w:eastAsia="仿宋_GB2312" w:cs="Calibri"/>
                <w:sz w:val="24"/>
                <w:szCs w:val="21"/>
              </w:rPr>
            </w:pPr>
          </w:p>
          <w:p w14:paraId="66641BF8">
            <w:pPr>
              <w:rPr>
                <w:rFonts w:ascii="仿宋_GB2312" w:eastAsia="仿宋_GB2312" w:cs="Calibri"/>
                <w:sz w:val="24"/>
                <w:szCs w:val="21"/>
              </w:rPr>
            </w:pPr>
          </w:p>
          <w:p w14:paraId="76062337">
            <w:pPr>
              <w:rPr>
                <w:rFonts w:ascii="仿宋_GB2312" w:eastAsia="仿宋_GB2312" w:cs="Calibri"/>
                <w:sz w:val="24"/>
                <w:szCs w:val="21"/>
              </w:rPr>
            </w:pPr>
          </w:p>
          <w:p w14:paraId="429DD4AE">
            <w:pPr>
              <w:rPr>
                <w:rFonts w:ascii="仿宋_GB2312" w:eastAsia="仿宋_GB2312" w:cs="Calibri"/>
                <w:sz w:val="24"/>
                <w:szCs w:val="21"/>
              </w:rPr>
            </w:pPr>
          </w:p>
          <w:p w14:paraId="44814A3F">
            <w:pPr>
              <w:rPr>
                <w:rFonts w:ascii="仿宋_GB2312" w:eastAsia="仿宋_GB2312" w:cs="Calibri"/>
                <w:sz w:val="24"/>
                <w:szCs w:val="21"/>
              </w:rPr>
            </w:pPr>
          </w:p>
          <w:p w14:paraId="631E4A9D">
            <w:pPr>
              <w:rPr>
                <w:rFonts w:ascii="仿宋_GB2312" w:eastAsia="仿宋_GB2312" w:cs="Calibri"/>
                <w:sz w:val="24"/>
                <w:szCs w:val="21"/>
              </w:rPr>
            </w:pPr>
          </w:p>
          <w:p w14:paraId="11661CCA">
            <w:pPr>
              <w:rPr>
                <w:rFonts w:ascii="仿宋_GB2312" w:eastAsia="仿宋_GB2312" w:cs="Calibri"/>
                <w:sz w:val="24"/>
                <w:szCs w:val="21"/>
              </w:rPr>
            </w:pPr>
          </w:p>
          <w:p w14:paraId="6ABB4EE0">
            <w:pPr>
              <w:rPr>
                <w:rFonts w:ascii="仿宋_GB2312" w:eastAsia="仿宋_GB2312" w:cs="Calibri"/>
                <w:sz w:val="24"/>
                <w:szCs w:val="21"/>
              </w:rPr>
            </w:pPr>
          </w:p>
          <w:p w14:paraId="42719C5B">
            <w:pPr>
              <w:rPr>
                <w:rFonts w:ascii="仿宋_GB2312" w:eastAsia="仿宋_GB2312" w:cs="Calibri"/>
                <w:sz w:val="24"/>
                <w:szCs w:val="21"/>
              </w:rPr>
            </w:pPr>
          </w:p>
          <w:p w14:paraId="30901964">
            <w:pPr>
              <w:rPr>
                <w:rFonts w:ascii="仿宋_GB2312" w:eastAsia="仿宋_GB2312" w:cs="Calibri"/>
                <w:sz w:val="24"/>
                <w:szCs w:val="21"/>
              </w:rPr>
            </w:pPr>
          </w:p>
          <w:p w14:paraId="12CAEAEB">
            <w:pPr>
              <w:rPr>
                <w:rFonts w:ascii="仿宋_GB2312" w:eastAsia="仿宋_GB2312" w:cs="Calibri"/>
                <w:sz w:val="24"/>
                <w:szCs w:val="21"/>
              </w:rPr>
            </w:pPr>
          </w:p>
          <w:p w14:paraId="758A87A9">
            <w:pPr>
              <w:rPr>
                <w:rFonts w:ascii="仿宋_GB2312" w:eastAsia="仿宋_GB2312" w:cs="Calibri"/>
                <w:sz w:val="24"/>
                <w:szCs w:val="21"/>
              </w:rPr>
            </w:pPr>
          </w:p>
          <w:p w14:paraId="36B6F6A9">
            <w:pPr>
              <w:rPr>
                <w:rFonts w:ascii="仿宋_GB2312" w:eastAsia="仿宋_GB2312" w:cs="Calibri"/>
                <w:sz w:val="24"/>
                <w:szCs w:val="21"/>
              </w:rPr>
            </w:pPr>
          </w:p>
          <w:p w14:paraId="22154BE6">
            <w:pPr>
              <w:ind w:firstLine="5520" w:firstLineChars="2300"/>
              <w:rPr>
                <w:rFonts w:ascii="仿宋_GB2312" w:eastAsia="仿宋_GB2312" w:cs="Calibri"/>
                <w:sz w:val="24"/>
                <w:szCs w:val="21"/>
              </w:rPr>
            </w:pPr>
            <w:r>
              <w:rPr>
                <w:rFonts w:hint="eastAsia" w:ascii="仿宋_GB2312" w:eastAsia="仿宋_GB2312" w:cs="Calibri"/>
                <w:sz w:val="24"/>
                <w:szCs w:val="21"/>
              </w:rPr>
              <w:t>单位公章：</w:t>
            </w:r>
          </w:p>
          <w:p w14:paraId="688D67EC">
            <w:pPr>
              <w:ind w:firstLine="5280"/>
              <w:rPr>
                <w:rFonts w:ascii="仿宋_GB2312" w:eastAsia="仿宋_GB2312" w:cs="Calibri"/>
                <w:sz w:val="24"/>
                <w:szCs w:val="21"/>
              </w:rPr>
            </w:pPr>
            <w:r>
              <w:rPr>
                <w:rFonts w:hint="eastAsia" w:ascii="仿宋_GB2312" w:eastAsia="仿宋_GB2312" w:cs="Calibri"/>
                <w:sz w:val="24"/>
                <w:szCs w:val="21"/>
              </w:rPr>
              <w:t>单位负责人签名：</w:t>
            </w:r>
          </w:p>
          <w:p w14:paraId="3DA5C0B4">
            <w:pPr>
              <w:ind w:firstLine="4800" w:firstLineChars="2000"/>
              <w:rPr>
                <w:rFonts w:ascii="仿宋_GB2312" w:eastAsia="仿宋_GB2312" w:cs="Calibri"/>
                <w:sz w:val="24"/>
                <w:szCs w:val="21"/>
              </w:rPr>
            </w:pPr>
            <w:r>
              <w:rPr>
                <w:rFonts w:hint="eastAsia" w:ascii="仿宋_GB2312" w:eastAsia="仿宋_GB2312" w:cs="Calibri"/>
                <w:sz w:val="24"/>
                <w:szCs w:val="21"/>
              </w:rPr>
              <w:t xml:space="preserve">      年  月   日</w:t>
            </w:r>
          </w:p>
        </w:tc>
      </w:tr>
    </w:tbl>
    <w:p w14:paraId="6EF728CC">
      <w:pPr>
        <w:jc w:val="center"/>
        <w:rPr>
          <w:rFonts w:eastAsia="华文中宋"/>
          <w:b/>
          <w:sz w:val="52"/>
        </w:rPr>
      </w:pPr>
      <w:r>
        <w:rPr>
          <w:rFonts w:hint="eastAsia" w:eastAsia="华文中宋"/>
          <w:b/>
          <w:sz w:val="52"/>
        </w:rPr>
        <w:t>江西省基础教育研究课题</w:t>
      </w:r>
    </w:p>
    <w:p w14:paraId="03645733">
      <w:pPr>
        <w:ind w:firstLine="2294" w:firstLineChars="441"/>
        <w:rPr>
          <w:rFonts w:eastAsia="华文中宋"/>
          <w:b/>
          <w:sz w:val="52"/>
        </w:rPr>
      </w:pPr>
      <w:r>
        <w:rPr>
          <w:rFonts w:hint="eastAsia" w:eastAsia="华文中宋"/>
          <w:b/>
          <w:sz w:val="52"/>
        </w:rPr>
        <w:t>申</w:t>
      </w:r>
      <w:r>
        <w:rPr>
          <w:rFonts w:eastAsia="华文中宋"/>
          <w:b/>
          <w:sz w:val="52"/>
        </w:rPr>
        <w:t xml:space="preserve">  </w:t>
      </w:r>
      <w:r>
        <w:rPr>
          <w:rFonts w:hint="eastAsia" w:eastAsia="华文中宋"/>
          <w:b/>
          <w:sz w:val="52"/>
        </w:rPr>
        <w:t>报</w:t>
      </w:r>
      <w:r>
        <w:rPr>
          <w:rFonts w:eastAsia="华文中宋"/>
          <w:b/>
          <w:sz w:val="52"/>
        </w:rPr>
        <w:t xml:space="preserve">  </w:t>
      </w:r>
      <w:r>
        <w:rPr>
          <w:rFonts w:hint="eastAsia" w:eastAsia="华文中宋"/>
          <w:b/>
          <w:sz w:val="52"/>
        </w:rPr>
        <w:t>书（活页）</w:t>
      </w:r>
    </w:p>
    <w:tbl>
      <w:tblPr>
        <w:tblStyle w:val="8"/>
        <w:tblW w:w="89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5"/>
        <w:gridCol w:w="1606"/>
        <w:gridCol w:w="1118"/>
        <w:gridCol w:w="1717"/>
        <w:gridCol w:w="2126"/>
        <w:gridCol w:w="1827"/>
      </w:tblGrid>
      <w:tr w14:paraId="36B30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0" w:hRule="atLeast"/>
          <w:jc w:val="center"/>
        </w:trPr>
        <w:tc>
          <w:tcPr>
            <w:tcW w:w="2191" w:type="dxa"/>
            <w:gridSpan w:val="2"/>
            <w:vAlign w:val="center"/>
          </w:tcPr>
          <w:p w14:paraId="06FBEFCF">
            <w:pPr>
              <w:spacing w:line="320" w:lineRule="exact"/>
              <w:jc w:val="center"/>
              <w:rPr>
                <w:rFonts w:ascii="黑体" w:hAnsi="黑体" w:eastAsia="黑体"/>
                <w:color w:val="000000"/>
                <w:sz w:val="24"/>
              </w:rPr>
            </w:pPr>
            <w:r>
              <w:rPr>
                <w:rFonts w:hint="eastAsia" w:ascii="黑体" w:hAnsi="黑体" w:eastAsia="黑体"/>
                <w:color w:val="000000"/>
                <w:sz w:val="24"/>
              </w:rPr>
              <w:t>课题名称</w:t>
            </w:r>
          </w:p>
        </w:tc>
        <w:tc>
          <w:tcPr>
            <w:tcW w:w="6788" w:type="dxa"/>
            <w:gridSpan w:val="4"/>
            <w:vAlign w:val="center"/>
          </w:tcPr>
          <w:p w14:paraId="4FF8FF8C">
            <w:pPr>
              <w:spacing w:line="320" w:lineRule="exact"/>
              <w:jc w:val="center"/>
              <w:rPr>
                <w:rFonts w:ascii="黑体" w:hAnsi="黑体" w:eastAsia="黑体"/>
                <w:color w:val="000000"/>
                <w:sz w:val="24"/>
              </w:rPr>
            </w:pPr>
          </w:p>
        </w:tc>
      </w:tr>
      <w:tr w14:paraId="59F15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85" w:type="dxa"/>
            <w:vMerge w:val="restart"/>
            <w:vAlign w:val="center"/>
          </w:tcPr>
          <w:p w14:paraId="5C1C6E60">
            <w:pPr>
              <w:spacing w:line="320" w:lineRule="exact"/>
              <w:jc w:val="center"/>
              <w:rPr>
                <w:rFonts w:ascii="黑体" w:hAnsi="黑体" w:eastAsia="黑体"/>
                <w:color w:val="000000"/>
                <w:sz w:val="24"/>
              </w:rPr>
            </w:pPr>
            <w:r>
              <w:rPr>
                <w:rFonts w:hint="eastAsia" w:ascii="黑体" w:hAnsi="黑体" w:eastAsia="黑体"/>
                <w:color w:val="000000"/>
                <w:sz w:val="24"/>
              </w:rPr>
              <w:t>课题</w:t>
            </w:r>
          </w:p>
          <w:p w14:paraId="481E3812">
            <w:pPr>
              <w:spacing w:line="320" w:lineRule="exact"/>
              <w:jc w:val="center"/>
              <w:rPr>
                <w:rFonts w:ascii="黑体" w:hAnsi="黑体" w:eastAsia="黑体"/>
                <w:color w:val="000000"/>
                <w:sz w:val="24"/>
              </w:rPr>
            </w:pPr>
            <w:r>
              <w:rPr>
                <w:rFonts w:hint="eastAsia" w:ascii="黑体" w:hAnsi="黑体" w:eastAsia="黑体"/>
                <w:color w:val="000000"/>
                <w:sz w:val="24"/>
              </w:rPr>
              <w:t>组成员</w:t>
            </w:r>
          </w:p>
        </w:tc>
        <w:tc>
          <w:tcPr>
            <w:tcW w:w="1606" w:type="dxa"/>
            <w:tcBorders>
              <w:right w:val="single" w:color="auto" w:sz="4" w:space="0"/>
            </w:tcBorders>
            <w:vAlign w:val="center"/>
          </w:tcPr>
          <w:p w14:paraId="50B87C79">
            <w:pPr>
              <w:spacing w:line="320" w:lineRule="exact"/>
              <w:jc w:val="center"/>
              <w:rPr>
                <w:rFonts w:ascii="黑体" w:hAnsi="黑体" w:eastAsia="黑体"/>
                <w:color w:val="000000"/>
                <w:sz w:val="24"/>
              </w:rPr>
            </w:pPr>
            <w:r>
              <w:rPr>
                <w:rFonts w:hint="eastAsia" w:ascii="黑体" w:hAnsi="黑体" w:eastAsia="黑体"/>
                <w:color w:val="000000"/>
                <w:sz w:val="24"/>
              </w:rPr>
              <w:t>负责人</w:t>
            </w:r>
          </w:p>
          <w:p w14:paraId="028FC074">
            <w:pPr>
              <w:spacing w:line="320" w:lineRule="exact"/>
              <w:jc w:val="center"/>
              <w:rPr>
                <w:rFonts w:ascii="黑体" w:hAnsi="黑体" w:eastAsia="黑体"/>
                <w:color w:val="000000"/>
                <w:sz w:val="24"/>
              </w:rPr>
            </w:pPr>
            <w:r>
              <w:rPr>
                <w:rFonts w:hint="eastAsia" w:ascii="黑体" w:hAnsi="黑体" w:eastAsia="黑体"/>
                <w:color w:val="000000"/>
                <w:sz w:val="24"/>
              </w:rPr>
              <w:t>职称与职务</w:t>
            </w:r>
          </w:p>
        </w:tc>
        <w:tc>
          <w:tcPr>
            <w:tcW w:w="1118" w:type="dxa"/>
            <w:tcBorders>
              <w:left w:val="single" w:color="auto" w:sz="4" w:space="0"/>
            </w:tcBorders>
            <w:vAlign w:val="center"/>
          </w:tcPr>
          <w:p w14:paraId="7A67278B">
            <w:pPr>
              <w:spacing w:line="320" w:lineRule="exact"/>
              <w:jc w:val="center"/>
              <w:rPr>
                <w:rFonts w:ascii="黑体" w:hAnsi="黑体" w:eastAsia="黑体"/>
                <w:color w:val="000000"/>
                <w:sz w:val="24"/>
              </w:rPr>
            </w:pPr>
            <w:r>
              <w:rPr>
                <w:rFonts w:hint="eastAsia" w:ascii="黑体" w:hAnsi="黑体" w:eastAsia="黑体"/>
                <w:color w:val="000000"/>
                <w:sz w:val="24"/>
              </w:rPr>
              <w:t>总人数</w:t>
            </w:r>
          </w:p>
        </w:tc>
        <w:tc>
          <w:tcPr>
            <w:tcW w:w="1717" w:type="dxa"/>
            <w:vAlign w:val="center"/>
          </w:tcPr>
          <w:p w14:paraId="5E23F5F0">
            <w:pPr>
              <w:spacing w:line="320" w:lineRule="exact"/>
              <w:jc w:val="center"/>
              <w:rPr>
                <w:rFonts w:ascii="黑体" w:hAnsi="黑体" w:eastAsia="黑体"/>
                <w:color w:val="000000"/>
                <w:sz w:val="24"/>
              </w:rPr>
            </w:pPr>
            <w:r>
              <w:rPr>
                <w:rFonts w:hint="eastAsia" w:ascii="黑体" w:hAnsi="黑体" w:eastAsia="黑体"/>
                <w:color w:val="000000"/>
                <w:sz w:val="24"/>
              </w:rPr>
              <w:t>高级职称人数</w:t>
            </w:r>
          </w:p>
        </w:tc>
        <w:tc>
          <w:tcPr>
            <w:tcW w:w="2126" w:type="dxa"/>
            <w:vAlign w:val="center"/>
          </w:tcPr>
          <w:p w14:paraId="083F6F77">
            <w:pPr>
              <w:spacing w:line="320" w:lineRule="exact"/>
              <w:jc w:val="center"/>
              <w:rPr>
                <w:rFonts w:ascii="黑体" w:hAnsi="黑体" w:eastAsia="黑体"/>
                <w:color w:val="000000"/>
                <w:sz w:val="24"/>
              </w:rPr>
            </w:pPr>
            <w:r>
              <w:rPr>
                <w:rFonts w:hint="eastAsia" w:ascii="黑体" w:hAnsi="黑体" w:eastAsia="黑体"/>
                <w:color w:val="000000"/>
                <w:sz w:val="24"/>
              </w:rPr>
              <w:t>中级职称人数</w:t>
            </w:r>
          </w:p>
        </w:tc>
        <w:tc>
          <w:tcPr>
            <w:tcW w:w="1827" w:type="dxa"/>
            <w:vAlign w:val="center"/>
          </w:tcPr>
          <w:p w14:paraId="0D78A87D">
            <w:pPr>
              <w:spacing w:line="320" w:lineRule="exact"/>
              <w:jc w:val="center"/>
              <w:rPr>
                <w:rFonts w:ascii="黑体" w:hAnsi="黑体" w:eastAsia="黑体"/>
                <w:color w:val="000000"/>
                <w:sz w:val="24"/>
              </w:rPr>
            </w:pPr>
            <w:r>
              <w:rPr>
                <w:rFonts w:hint="eastAsia" w:ascii="黑体" w:hAnsi="黑体" w:eastAsia="黑体"/>
                <w:color w:val="000000"/>
                <w:sz w:val="24"/>
              </w:rPr>
              <w:t>初级职称人数</w:t>
            </w:r>
          </w:p>
        </w:tc>
      </w:tr>
      <w:tr w14:paraId="7B6C2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32" w:hRule="atLeast"/>
          <w:jc w:val="center"/>
        </w:trPr>
        <w:tc>
          <w:tcPr>
            <w:tcW w:w="585" w:type="dxa"/>
            <w:vMerge w:val="continue"/>
            <w:tcBorders>
              <w:top w:val="nil"/>
            </w:tcBorders>
            <w:vAlign w:val="center"/>
          </w:tcPr>
          <w:p w14:paraId="14EB75C5">
            <w:pPr>
              <w:spacing w:line="320" w:lineRule="exact"/>
              <w:rPr>
                <w:rFonts w:ascii="仿宋_GB2312" w:eastAsia="仿宋_GB2312"/>
                <w:color w:val="000000"/>
                <w:sz w:val="24"/>
              </w:rPr>
            </w:pPr>
          </w:p>
        </w:tc>
        <w:tc>
          <w:tcPr>
            <w:tcW w:w="1606" w:type="dxa"/>
            <w:tcBorders>
              <w:right w:val="single" w:color="auto" w:sz="4" w:space="0"/>
            </w:tcBorders>
            <w:vAlign w:val="center"/>
          </w:tcPr>
          <w:p w14:paraId="5237D8A4">
            <w:pPr>
              <w:spacing w:line="320" w:lineRule="exact"/>
              <w:jc w:val="center"/>
              <w:rPr>
                <w:rFonts w:ascii="仿宋_GB2312" w:eastAsia="仿宋_GB2312"/>
                <w:color w:val="000000"/>
                <w:sz w:val="24"/>
              </w:rPr>
            </w:pPr>
          </w:p>
        </w:tc>
        <w:tc>
          <w:tcPr>
            <w:tcW w:w="1118" w:type="dxa"/>
            <w:tcBorders>
              <w:left w:val="single" w:color="auto" w:sz="4" w:space="0"/>
            </w:tcBorders>
            <w:vAlign w:val="center"/>
          </w:tcPr>
          <w:p w14:paraId="6903CEF8">
            <w:pPr>
              <w:spacing w:line="320" w:lineRule="exact"/>
              <w:jc w:val="center"/>
              <w:rPr>
                <w:rFonts w:ascii="仿宋_GB2312" w:eastAsia="仿宋_GB2312"/>
                <w:color w:val="000000"/>
                <w:sz w:val="24"/>
              </w:rPr>
            </w:pPr>
          </w:p>
        </w:tc>
        <w:tc>
          <w:tcPr>
            <w:tcW w:w="1717" w:type="dxa"/>
            <w:vAlign w:val="center"/>
          </w:tcPr>
          <w:p w14:paraId="4652CF4B">
            <w:pPr>
              <w:spacing w:line="320" w:lineRule="exact"/>
              <w:jc w:val="center"/>
              <w:rPr>
                <w:rFonts w:ascii="仿宋_GB2312" w:eastAsia="仿宋_GB2312"/>
                <w:color w:val="000000"/>
                <w:sz w:val="24"/>
              </w:rPr>
            </w:pPr>
          </w:p>
        </w:tc>
        <w:tc>
          <w:tcPr>
            <w:tcW w:w="2126" w:type="dxa"/>
            <w:vAlign w:val="center"/>
          </w:tcPr>
          <w:p w14:paraId="1EBDD52A">
            <w:pPr>
              <w:spacing w:line="320" w:lineRule="exact"/>
              <w:jc w:val="center"/>
              <w:rPr>
                <w:rFonts w:ascii="仿宋_GB2312" w:eastAsia="仿宋_GB2312"/>
                <w:color w:val="000000"/>
                <w:sz w:val="24"/>
              </w:rPr>
            </w:pPr>
          </w:p>
        </w:tc>
        <w:tc>
          <w:tcPr>
            <w:tcW w:w="1827" w:type="dxa"/>
            <w:vAlign w:val="center"/>
          </w:tcPr>
          <w:p w14:paraId="149CBE03">
            <w:pPr>
              <w:spacing w:line="320" w:lineRule="exact"/>
              <w:rPr>
                <w:rFonts w:ascii="仿宋_GB2312" w:eastAsia="仿宋_GB2312"/>
                <w:color w:val="000000"/>
                <w:sz w:val="24"/>
              </w:rPr>
            </w:pPr>
          </w:p>
        </w:tc>
      </w:tr>
    </w:tbl>
    <w:p w14:paraId="3FB2A9C9">
      <w:pPr>
        <w:ind w:firstLine="241" w:firstLineChars="100"/>
        <w:rPr>
          <w:rFonts w:ascii="仿宋_GB2312" w:eastAsia="仿宋_GB2312"/>
          <w:b/>
          <w:color w:val="000000"/>
          <w:sz w:val="24"/>
        </w:rPr>
      </w:pPr>
      <w:r>
        <w:rPr>
          <w:rFonts w:hint="eastAsia"/>
          <w:b/>
          <w:color w:val="000000"/>
          <w:sz w:val="24"/>
        </w:rPr>
        <w:t>注：</w:t>
      </w:r>
      <w:r>
        <w:rPr>
          <w:rFonts w:hint="eastAsia" w:ascii="仿宋_GB2312" w:eastAsia="仿宋_GB2312"/>
          <w:b/>
          <w:color w:val="000000"/>
          <w:sz w:val="24"/>
        </w:rPr>
        <w:t>活页中若出现课题负责人、论文作者、获奖者姓名及所在单位、所在地市名称等信息，请统一用×××代表。否则，一律不得进入评审程序。</w:t>
      </w:r>
    </w:p>
    <w:p w14:paraId="6241F487">
      <w:pPr>
        <w:spacing w:line="585" w:lineRule="exact"/>
        <w:ind w:left="739" w:leftChars="352"/>
        <w:rPr>
          <w:rFonts w:eastAsia="黑体"/>
          <w:sz w:val="32"/>
        </w:rPr>
      </w:pPr>
      <w:r>
        <w:rPr>
          <w:rFonts w:hint="eastAsia" w:eastAsia="黑体"/>
          <w:sz w:val="32"/>
        </w:rPr>
        <w:t>一、负责人和课题组成员近期取得的与本课题有关的</w:t>
      </w:r>
    </w:p>
    <w:p w14:paraId="02B37C5E">
      <w:pPr>
        <w:spacing w:line="585" w:lineRule="exact"/>
        <w:ind w:firstLine="320" w:firstLineChars="100"/>
        <w:rPr>
          <w:rFonts w:eastAsia="黑体"/>
          <w:sz w:val="32"/>
        </w:rPr>
      </w:pPr>
      <w:r>
        <w:rPr>
          <w:rFonts w:hint="eastAsia" w:eastAsia="黑体"/>
          <w:sz w:val="32"/>
        </w:rPr>
        <w:t>研究成果及工作基础</w:t>
      </w:r>
    </w:p>
    <w:tbl>
      <w:tblPr>
        <w:tblStyle w:val="8"/>
        <w:tblW w:w="8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
        <w:gridCol w:w="1172"/>
        <w:gridCol w:w="1086"/>
        <w:gridCol w:w="905"/>
        <w:gridCol w:w="3438"/>
        <w:gridCol w:w="2279"/>
      </w:tblGrid>
      <w:tr w14:paraId="4392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8902" w:type="dxa"/>
            <w:gridSpan w:val="6"/>
            <w:vAlign w:val="center"/>
          </w:tcPr>
          <w:p w14:paraId="213934A5">
            <w:pPr>
              <w:rPr>
                <w:rFonts w:ascii="黑体" w:hAnsi="黑体" w:eastAsia="黑体"/>
                <w:szCs w:val="21"/>
              </w:rPr>
            </w:pPr>
            <w:r>
              <w:rPr>
                <w:rFonts w:hint="eastAsia" w:ascii="仿宋_GB2312" w:hAnsi="宋体" w:eastAsia="仿宋_GB2312"/>
                <w:sz w:val="24"/>
                <w:szCs w:val="21"/>
              </w:rPr>
              <w:t>（一）研究成果</w:t>
            </w:r>
          </w:p>
        </w:tc>
      </w:tr>
      <w:tr w14:paraId="67AA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94" w:type="dxa"/>
            <w:gridSpan w:val="2"/>
            <w:vAlign w:val="center"/>
          </w:tcPr>
          <w:p w14:paraId="569829C9">
            <w:pPr>
              <w:jc w:val="center"/>
              <w:rPr>
                <w:rFonts w:ascii="黑体" w:hAnsi="黑体" w:eastAsia="黑体"/>
                <w:sz w:val="24"/>
                <w:szCs w:val="21"/>
              </w:rPr>
            </w:pPr>
            <w:r>
              <w:rPr>
                <w:rFonts w:hint="eastAsia" w:ascii="黑体" w:hAnsi="黑体" w:eastAsia="黑体"/>
                <w:sz w:val="24"/>
                <w:szCs w:val="21"/>
              </w:rPr>
              <w:t>姓名</w:t>
            </w:r>
          </w:p>
        </w:tc>
        <w:tc>
          <w:tcPr>
            <w:tcW w:w="1086" w:type="dxa"/>
            <w:vAlign w:val="center"/>
          </w:tcPr>
          <w:p w14:paraId="75DA6287">
            <w:pPr>
              <w:jc w:val="center"/>
              <w:rPr>
                <w:rFonts w:ascii="黑体" w:hAnsi="黑体" w:eastAsia="黑体"/>
                <w:sz w:val="24"/>
                <w:szCs w:val="21"/>
              </w:rPr>
            </w:pPr>
            <w:r>
              <w:rPr>
                <w:rFonts w:hint="eastAsia" w:ascii="黑体" w:hAnsi="黑体" w:eastAsia="黑体"/>
                <w:sz w:val="24"/>
                <w:szCs w:val="21"/>
              </w:rPr>
              <w:t>年龄</w:t>
            </w:r>
          </w:p>
        </w:tc>
        <w:tc>
          <w:tcPr>
            <w:tcW w:w="905" w:type="dxa"/>
            <w:vAlign w:val="center"/>
          </w:tcPr>
          <w:p w14:paraId="0349E1E5">
            <w:pPr>
              <w:jc w:val="center"/>
              <w:rPr>
                <w:rFonts w:ascii="黑体" w:hAnsi="黑体" w:eastAsia="黑体"/>
                <w:sz w:val="24"/>
                <w:szCs w:val="21"/>
              </w:rPr>
            </w:pPr>
            <w:r>
              <w:rPr>
                <w:rFonts w:hint="eastAsia" w:ascii="黑体" w:hAnsi="黑体" w:eastAsia="黑体"/>
                <w:sz w:val="24"/>
                <w:szCs w:val="21"/>
              </w:rPr>
              <w:t>职称</w:t>
            </w:r>
          </w:p>
        </w:tc>
        <w:tc>
          <w:tcPr>
            <w:tcW w:w="3438" w:type="dxa"/>
            <w:vAlign w:val="center"/>
          </w:tcPr>
          <w:p w14:paraId="351B6391">
            <w:pPr>
              <w:jc w:val="center"/>
              <w:rPr>
                <w:rFonts w:ascii="黑体" w:hAnsi="黑体" w:eastAsia="黑体"/>
                <w:sz w:val="24"/>
                <w:szCs w:val="21"/>
              </w:rPr>
            </w:pPr>
            <w:r>
              <w:rPr>
                <w:rFonts w:hint="eastAsia" w:ascii="黑体" w:hAnsi="黑体" w:eastAsia="黑体"/>
                <w:sz w:val="24"/>
                <w:szCs w:val="21"/>
              </w:rPr>
              <w:t>著作、论文、实验报告名称</w:t>
            </w:r>
          </w:p>
        </w:tc>
        <w:tc>
          <w:tcPr>
            <w:tcW w:w="2279" w:type="dxa"/>
            <w:vAlign w:val="center"/>
          </w:tcPr>
          <w:p w14:paraId="5FA7C637">
            <w:pPr>
              <w:jc w:val="center"/>
              <w:rPr>
                <w:rFonts w:ascii="黑体" w:hAnsi="黑体" w:eastAsia="黑体"/>
                <w:sz w:val="24"/>
                <w:szCs w:val="21"/>
              </w:rPr>
            </w:pPr>
            <w:r>
              <w:rPr>
                <w:rFonts w:hint="eastAsia" w:ascii="黑体" w:hAnsi="黑体" w:eastAsia="黑体"/>
                <w:sz w:val="24"/>
                <w:szCs w:val="21"/>
              </w:rPr>
              <w:t>获奖级别</w:t>
            </w:r>
          </w:p>
          <w:p w14:paraId="43C5A514">
            <w:pPr>
              <w:jc w:val="center"/>
              <w:rPr>
                <w:rFonts w:ascii="黑体" w:hAnsi="黑体" w:eastAsia="黑体"/>
                <w:sz w:val="24"/>
                <w:szCs w:val="21"/>
              </w:rPr>
            </w:pPr>
            <w:r>
              <w:rPr>
                <w:rFonts w:hint="eastAsia" w:ascii="黑体" w:hAnsi="黑体" w:eastAsia="黑体"/>
                <w:sz w:val="24"/>
                <w:szCs w:val="21"/>
              </w:rPr>
              <w:t>（发表刊物或出版单位）</w:t>
            </w:r>
          </w:p>
        </w:tc>
      </w:tr>
      <w:tr w14:paraId="3C08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gridSpan w:val="2"/>
          </w:tcPr>
          <w:p w14:paraId="196D40A0">
            <w:pPr>
              <w:rPr>
                <w:rFonts w:ascii="仿宋_GB2312" w:eastAsia="仿宋_GB2312"/>
                <w:szCs w:val="21"/>
              </w:rPr>
            </w:pPr>
          </w:p>
        </w:tc>
        <w:tc>
          <w:tcPr>
            <w:tcW w:w="1086" w:type="dxa"/>
          </w:tcPr>
          <w:p w14:paraId="48DB32F5">
            <w:pPr>
              <w:rPr>
                <w:rFonts w:ascii="仿宋_GB2312" w:eastAsia="仿宋_GB2312"/>
                <w:szCs w:val="21"/>
              </w:rPr>
            </w:pPr>
          </w:p>
        </w:tc>
        <w:tc>
          <w:tcPr>
            <w:tcW w:w="905" w:type="dxa"/>
          </w:tcPr>
          <w:p w14:paraId="5F279D91">
            <w:pPr>
              <w:rPr>
                <w:rFonts w:ascii="仿宋_GB2312" w:eastAsia="仿宋_GB2312"/>
                <w:szCs w:val="21"/>
              </w:rPr>
            </w:pPr>
          </w:p>
        </w:tc>
        <w:tc>
          <w:tcPr>
            <w:tcW w:w="3438" w:type="dxa"/>
          </w:tcPr>
          <w:p w14:paraId="336FCB37">
            <w:pPr>
              <w:rPr>
                <w:rFonts w:ascii="仿宋_GB2312" w:eastAsia="仿宋_GB2312"/>
                <w:szCs w:val="21"/>
              </w:rPr>
            </w:pPr>
          </w:p>
        </w:tc>
        <w:tc>
          <w:tcPr>
            <w:tcW w:w="2279" w:type="dxa"/>
          </w:tcPr>
          <w:p w14:paraId="5E800B3E">
            <w:pPr>
              <w:rPr>
                <w:rFonts w:ascii="仿宋_GB2312" w:eastAsia="仿宋_GB2312"/>
                <w:szCs w:val="21"/>
              </w:rPr>
            </w:pPr>
          </w:p>
        </w:tc>
      </w:tr>
      <w:tr w14:paraId="1861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gridSpan w:val="2"/>
          </w:tcPr>
          <w:p w14:paraId="39014F18">
            <w:pPr>
              <w:rPr>
                <w:rFonts w:ascii="仿宋_GB2312" w:eastAsia="仿宋_GB2312"/>
                <w:szCs w:val="21"/>
              </w:rPr>
            </w:pPr>
          </w:p>
        </w:tc>
        <w:tc>
          <w:tcPr>
            <w:tcW w:w="1086" w:type="dxa"/>
          </w:tcPr>
          <w:p w14:paraId="159CC4E8">
            <w:pPr>
              <w:rPr>
                <w:rFonts w:ascii="仿宋_GB2312" w:eastAsia="仿宋_GB2312"/>
                <w:szCs w:val="21"/>
              </w:rPr>
            </w:pPr>
          </w:p>
        </w:tc>
        <w:tc>
          <w:tcPr>
            <w:tcW w:w="905" w:type="dxa"/>
          </w:tcPr>
          <w:p w14:paraId="331C0B52">
            <w:pPr>
              <w:rPr>
                <w:rFonts w:ascii="仿宋_GB2312" w:eastAsia="仿宋_GB2312"/>
                <w:szCs w:val="21"/>
              </w:rPr>
            </w:pPr>
          </w:p>
        </w:tc>
        <w:tc>
          <w:tcPr>
            <w:tcW w:w="3438" w:type="dxa"/>
          </w:tcPr>
          <w:p w14:paraId="7ECE4701">
            <w:pPr>
              <w:rPr>
                <w:rFonts w:ascii="仿宋_GB2312" w:eastAsia="仿宋_GB2312"/>
                <w:szCs w:val="21"/>
              </w:rPr>
            </w:pPr>
          </w:p>
        </w:tc>
        <w:tc>
          <w:tcPr>
            <w:tcW w:w="2279" w:type="dxa"/>
          </w:tcPr>
          <w:p w14:paraId="16F82CF4">
            <w:pPr>
              <w:rPr>
                <w:rFonts w:ascii="仿宋_GB2312" w:eastAsia="仿宋_GB2312"/>
                <w:szCs w:val="21"/>
              </w:rPr>
            </w:pPr>
          </w:p>
        </w:tc>
      </w:tr>
      <w:tr w14:paraId="7AD4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gridSpan w:val="2"/>
          </w:tcPr>
          <w:p w14:paraId="2944BCC9">
            <w:pPr>
              <w:rPr>
                <w:rFonts w:ascii="仿宋_GB2312" w:eastAsia="仿宋_GB2312"/>
                <w:szCs w:val="21"/>
              </w:rPr>
            </w:pPr>
          </w:p>
        </w:tc>
        <w:tc>
          <w:tcPr>
            <w:tcW w:w="1086" w:type="dxa"/>
          </w:tcPr>
          <w:p w14:paraId="324C5E46">
            <w:pPr>
              <w:rPr>
                <w:rFonts w:ascii="仿宋_GB2312" w:eastAsia="仿宋_GB2312"/>
                <w:szCs w:val="21"/>
              </w:rPr>
            </w:pPr>
          </w:p>
        </w:tc>
        <w:tc>
          <w:tcPr>
            <w:tcW w:w="905" w:type="dxa"/>
          </w:tcPr>
          <w:p w14:paraId="5AB6E541">
            <w:pPr>
              <w:rPr>
                <w:rFonts w:ascii="仿宋_GB2312" w:eastAsia="仿宋_GB2312"/>
                <w:szCs w:val="21"/>
              </w:rPr>
            </w:pPr>
          </w:p>
        </w:tc>
        <w:tc>
          <w:tcPr>
            <w:tcW w:w="3438" w:type="dxa"/>
          </w:tcPr>
          <w:p w14:paraId="5C5090E4">
            <w:pPr>
              <w:rPr>
                <w:rFonts w:ascii="仿宋_GB2312" w:eastAsia="仿宋_GB2312"/>
                <w:szCs w:val="21"/>
              </w:rPr>
            </w:pPr>
          </w:p>
        </w:tc>
        <w:tc>
          <w:tcPr>
            <w:tcW w:w="2279" w:type="dxa"/>
          </w:tcPr>
          <w:p w14:paraId="3B894702">
            <w:pPr>
              <w:rPr>
                <w:rFonts w:ascii="仿宋_GB2312" w:eastAsia="仿宋_GB2312"/>
                <w:szCs w:val="21"/>
              </w:rPr>
            </w:pPr>
          </w:p>
        </w:tc>
      </w:tr>
      <w:tr w14:paraId="1716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gridSpan w:val="2"/>
          </w:tcPr>
          <w:p w14:paraId="39DFB7B1">
            <w:pPr>
              <w:rPr>
                <w:rFonts w:ascii="仿宋_GB2312" w:eastAsia="仿宋_GB2312"/>
                <w:szCs w:val="21"/>
              </w:rPr>
            </w:pPr>
          </w:p>
        </w:tc>
        <w:tc>
          <w:tcPr>
            <w:tcW w:w="1086" w:type="dxa"/>
          </w:tcPr>
          <w:p w14:paraId="236C9691">
            <w:pPr>
              <w:rPr>
                <w:rFonts w:ascii="仿宋_GB2312" w:eastAsia="仿宋_GB2312"/>
                <w:szCs w:val="21"/>
              </w:rPr>
            </w:pPr>
          </w:p>
        </w:tc>
        <w:tc>
          <w:tcPr>
            <w:tcW w:w="905" w:type="dxa"/>
          </w:tcPr>
          <w:p w14:paraId="164B1EBD">
            <w:pPr>
              <w:rPr>
                <w:rFonts w:ascii="仿宋_GB2312" w:eastAsia="仿宋_GB2312"/>
                <w:szCs w:val="21"/>
              </w:rPr>
            </w:pPr>
          </w:p>
        </w:tc>
        <w:tc>
          <w:tcPr>
            <w:tcW w:w="3438" w:type="dxa"/>
          </w:tcPr>
          <w:p w14:paraId="711745E8">
            <w:pPr>
              <w:rPr>
                <w:rFonts w:ascii="仿宋_GB2312" w:eastAsia="仿宋_GB2312"/>
                <w:szCs w:val="21"/>
              </w:rPr>
            </w:pPr>
          </w:p>
        </w:tc>
        <w:tc>
          <w:tcPr>
            <w:tcW w:w="2279" w:type="dxa"/>
          </w:tcPr>
          <w:p w14:paraId="678B5FE3">
            <w:pPr>
              <w:rPr>
                <w:rFonts w:ascii="仿宋_GB2312" w:eastAsia="仿宋_GB2312"/>
                <w:szCs w:val="21"/>
              </w:rPr>
            </w:pPr>
          </w:p>
        </w:tc>
      </w:tr>
      <w:tr w14:paraId="22C7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gridSpan w:val="2"/>
          </w:tcPr>
          <w:p w14:paraId="6D424E37">
            <w:pPr>
              <w:rPr>
                <w:rFonts w:ascii="仿宋_GB2312" w:eastAsia="仿宋_GB2312"/>
                <w:szCs w:val="21"/>
              </w:rPr>
            </w:pPr>
          </w:p>
        </w:tc>
        <w:tc>
          <w:tcPr>
            <w:tcW w:w="1086" w:type="dxa"/>
          </w:tcPr>
          <w:p w14:paraId="7A6A3BA6">
            <w:pPr>
              <w:rPr>
                <w:rFonts w:ascii="仿宋_GB2312" w:eastAsia="仿宋_GB2312"/>
                <w:szCs w:val="21"/>
              </w:rPr>
            </w:pPr>
          </w:p>
        </w:tc>
        <w:tc>
          <w:tcPr>
            <w:tcW w:w="905" w:type="dxa"/>
          </w:tcPr>
          <w:p w14:paraId="314CB129">
            <w:pPr>
              <w:rPr>
                <w:rFonts w:ascii="仿宋_GB2312" w:eastAsia="仿宋_GB2312"/>
                <w:szCs w:val="21"/>
              </w:rPr>
            </w:pPr>
          </w:p>
        </w:tc>
        <w:tc>
          <w:tcPr>
            <w:tcW w:w="3438" w:type="dxa"/>
          </w:tcPr>
          <w:p w14:paraId="2E396601">
            <w:pPr>
              <w:rPr>
                <w:rFonts w:ascii="仿宋_GB2312" w:eastAsia="仿宋_GB2312"/>
                <w:szCs w:val="21"/>
              </w:rPr>
            </w:pPr>
          </w:p>
        </w:tc>
        <w:tc>
          <w:tcPr>
            <w:tcW w:w="2279" w:type="dxa"/>
          </w:tcPr>
          <w:p w14:paraId="02CB5FD9">
            <w:pPr>
              <w:rPr>
                <w:rFonts w:ascii="仿宋_GB2312" w:eastAsia="仿宋_GB2312"/>
                <w:szCs w:val="21"/>
              </w:rPr>
            </w:pPr>
          </w:p>
        </w:tc>
      </w:tr>
      <w:tr w14:paraId="6512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gridSpan w:val="2"/>
          </w:tcPr>
          <w:p w14:paraId="05681593">
            <w:pPr>
              <w:rPr>
                <w:rFonts w:ascii="仿宋_GB2312" w:eastAsia="仿宋_GB2312"/>
                <w:szCs w:val="21"/>
              </w:rPr>
            </w:pPr>
          </w:p>
        </w:tc>
        <w:tc>
          <w:tcPr>
            <w:tcW w:w="1086" w:type="dxa"/>
          </w:tcPr>
          <w:p w14:paraId="20C92C67">
            <w:pPr>
              <w:rPr>
                <w:rFonts w:ascii="仿宋_GB2312" w:eastAsia="仿宋_GB2312"/>
                <w:szCs w:val="21"/>
              </w:rPr>
            </w:pPr>
          </w:p>
        </w:tc>
        <w:tc>
          <w:tcPr>
            <w:tcW w:w="905" w:type="dxa"/>
          </w:tcPr>
          <w:p w14:paraId="3162B801">
            <w:pPr>
              <w:rPr>
                <w:rFonts w:ascii="仿宋_GB2312" w:eastAsia="仿宋_GB2312"/>
                <w:szCs w:val="21"/>
              </w:rPr>
            </w:pPr>
          </w:p>
        </w:tc>
        <w:tc>
          <w:tcPr>
            <w:tcW w:w="3438" w:type="dxa"/>
          </w:tcPr>
          <w:p w14:paraId="4C0CB750">
            <w:pPr>
              <w:rPr>
                <w:rFonts w:ascii="仿宋_GB2312" w:eastAsia="仿宋_GB2312"/>
                <w:szCs w:val="21"/>
              </w:rPr>
            </w:pPr>
          </w:p>
        </w:tc>
        <w:tc>
          <w:tcPr>
            <w:tcW w:w="2279" w:type="dxa"/>
          </w:tcPr>
          <w:p w14:paraId="618D641C">
            <w:pPr>
              <w:rPr>
                <w:rFonts w:ascii="仿宋_GB2312" w:eastAsia="仿宋_GB2312"/>
                <w:szCs w:val="21"/>
              </w:rPr>
            </w:pPr>
          </w:p>
        </w:tc>
      </w:tr>
      <w:tr w14:paraId="6221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4" w:type="dxa"/>
            <w:gridSpan w:val="2"/>
          </w:tcPr>
          <w:p w14:paraId="77F5325D">
            <w:pPr>
              <w:rPr>
                <w:rFonts w:ascii="仿宋_GB2312" w:eastAsia="仿宋_GB2312"/>
                <w:szCs w:val="21"/>
              </w:rPr>
            </w:pPr>
          </w:p>
        </w:tc>
        <w:tc>
          <w:tcPr>
            <w:tcW w:w="1086" w:type="dxa"/>
          </w:tcPr>
          <w:p w14:paraId="080A382B">
            <w:pPr>
              <w:rPr>
                <w:rFonts w:ascii="仿宋_GB2312" w:eastAsia="仿宋_GB2312"/>
                <w:szCs w:val="21"/>
              </w:rPr>
            </w:pPr>
          </w:p>
        </w:tc>
        <w:tc>
          <w:tcPr>
            <w:tcW w:w="905" w:type="dxa"/>
          </w:tcPr>
          <w:p w14:paraId="29AB6353">
            <w:pPr>
              <w:rPr>
                <w:rFonts w:ascii="仿宋_GB2312" w:eastAsia="仿宋_GB2312"/>
                <w:szCs w:val="21"/>
              </w:rPr>
            </w:pPr>
          </w:p>
        </w:tc>
        <w:tc>
          <w:tcPr>
            <w:tcW w:w="3438" w:type="dxa"/>
          </w:tcPr>
          <w:p w14:paraId="443CA5E9">
            <w:pPr>
              <w:rPr>
                <w:rFonts w:ascii="仿宋_GB2312" w:eastAsia="仿宋_GB2312"/>
                <w:szCs w:val="21"/>
              </w:rPr>
            </w:pPr>
          </w:p>
        </w:tc>
        <w:tc>
          <w:tcPr>
            <w:tcW w:w="2279" w:type="dxa"/>
          </w:tcPr>
          <w:p w14:paraId="3E12FA23">
            <w:pPr>
              <w:rPr>
                <w:rFonts w:ascii="仿宋_GB2312" w:eastAsia="仿宋_GB2312"/>
                <w:szCs w:val="21"/>
              </w:rPr>
            </w:pPr>
          </w:p>
        </w:tc>
      </w:tr>
      <w:tr w14:paraId="4DE7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94" w:type="dxa"/>
            <w:gridSpan w:val="2"/>
          </w:tcPr>
          <w:p w14:paraId="48C1842A">
            <w:pPr>
              <w:rPr>
                <w:rFonts w:ascii="仿宋_GB2312" w:eastAsia="仿宋_GB2312"/>
                <w:szCs w:val="21"/>
              </w:rPr>
            </w:pPr>
          </w:p>
        </w:tc>
        <w:tc>
          <w:tcPr>
            <w:tcW w:w="1086" w:type="dxa"/>
          </w:tcPr>
          <w:p w14:paraId="7C8BCDA4">
            <w:pPr>
              <w:rPr>
                <w:rFonts w:ascii="仿宋_GB2312" w:eastAsia="仿宋_GB2312"/>
                <w:szCs w:val="21"/>
              </w:rPr>
            </w:pPr>
          </w:p>
        </w:tc>
        <w:tc>
          <w:tcPr>
            <w:tcW w:w="905" w:type="dxa"/>
          </w:tcPr>
          <w:p w14:paraId="6FA6ED92">
            <w:pPr>
              <w:rPr>
                <w:rFonts w:ascii="仿宋_GB2312" w:eastAsia="仿宋_GB2312"/>
                <w:szCs w:val="21"/>
              </w:rPr>
            </w:pPr>
          </w:p>
        </w:tc>
        <w:tc>
          <w:tcPr>
            <w:tcW w:w="3438" w:type="dxa"/>
          </w:tcPr>
          <w:p w14:paraId="447DB44D">
            <w:pPr>
              <w:rPr>
                <w:rFonts w:ascii="仿宋_GB2312" w:eastAsia="仿宋_GB2312"/>
                <w:szCs w:val="21"/>
              </w:rPr>
            </w:pPr>
          </w:p>
        </w:tc>
        <w:tc>
          <w:tcPr>
            <w:tcW w:w="2279" w:type="dxa"/>
          </w:tcPr>
          <w:p w14:paraId="15DFDB3B">
            <w:pPr>
              <w:rPr>
                <w:rFonts w:ascii="仿宋_GB2312" w:eastAsia="仿宋_GB2312"/>
                <w:szCs w:val="21"/>
              </w:rPr>
            </w:pPr>
          </w:p>
          <w:p w14:paraId="0A095037">
            <w:pPr>
              <w:rPr>
                <w:rFonts w:ascii="仿宋_GB2312" w:eastAsia="仿宋_GB2312"/>
                <w:szCs w:val="21"/>
              </w:rPr>
            </w:pPr>
          </w:p>
        </w:tc>
      </w:tr>
      <w:tr w14:paraId="5173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2" w:type="dxa"/>
          <w:trHeight w:val="331" w:hRule="atLeast"/>
          <w:jc w:val="center"/>
        </w:trPr>
        <w:tc>
          <w:tcPr>
            <w:tcW w:w="8880" w:type="dxa"/>
            <w:gridSpan w:val="5"/>
            <w:vAlign w:val="center"/>
          </w:tcPr>
          <w:p w14:paraId="3F88E24C">
            <w:pPr>
              <w:rPr>
                <w:rFonts w:ascii="仿宋_GB2312" w:eastAsia="仿宋_GB2312"/>
                <w:sz w:val="24"/>
                <w:szCs w:val="21"/>
              </w:rPr>
            </w:pPr>
            <w:r>
              <w:rPr>
                <w:rFonts w:hint="eastAsia" w:ascii="仿宋_GB2312" w:hAnsi="宋体" w:eastAsia="仿宋_GB2312" w:cs="宋体"/>
                <w:sz w:val="24"/>
                <w:szCs w:val="21"/>
              </w:rPr>
              <w:t>（二）工作基础</w:t>
            </w:r>
          </w:p>
        </w:tc>
      </w:tr>
      <w:tr w14:paraId="5AF7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2" w:type="dxa"/>
          <w:trHeight w:val="11301" w:hRule="atLeast"/>
          <w:jc w:val="center"/>
        </w:trPr>
        <w:tc>
          <w:tcPr>
            <w:tcW w:w="8880" w:type="dxa"/>
            <w:gridSpan w:val="5"/>
          </w:tcPr>
          <w:p w14:paraId="032628E3">
            <w:pPr>
              <w:rPr>
                <w:rFonts w:ascii="仿宋_GB2312" w:eastAsia="仿宋_GB2312"/>
                <w:sz w:val="24"/>
                <w:szCs w:val="21"/>
              </w:rPr>
            </w:pPr>
            <w:r>
              <w:rPr>
                <w:rFonts w:hint="eastAsia" w:ascii="仿宋_GB2312" w:eastAsia="仿宋_GB2312"/>
                <w:sz w:val="24"/>
                <w:szCs w:val="21"/>
              </w:rPr>
              <w:t>1.课题组成员已开展的相关研究实践概述及对本研究的价值（包括自选课题、校级以上课题等）。</w:t>
            </w:r>
          </w:p>
          <w:p w14:paraId="5298A59E">
            <w:pPr>
              <w:rPr>
                <w:rFonts w:ascii="仿宋_GB2312" w:eastAsia="仿宋_GB2312" w:cs="Calibri"/>
                <w:sz w:val="24"/>
                <w:szCs w:val="21"/>
              </w:rPr>
            </w:pPr>
          </w:p>
          <w:p w14:paraId="2E37AEF4">
            <w:pPr>
              <w:rPr>
                <w:rFonts w:ascii="仿宋_GB2312" w:eastAsia="仿宋_GB2312"/>
                <w:sz w:val="24"/>
                <w:szCs w:val="21"/>
              </w:rPr>
            </w:pPr>
          </w:p>
          <w:p w14:paraId="5F40E44D">
            <w:pPr>
              <w:rPr>
                <w:rFonts w:ascii="仿宋_GB2312" w:eastAsia="仿宋_GB2312"/>
                <w:sz w:val="24"/>
                <w:szCs w:val="21"/>
              </w:rPr>
            </w:pPr>
          </w:p>
          <w:p w14:paraId="0D69D40E">
            <w:pPr>
              <w:rPr>
                <w:rFonts w:ascii="仿宋_GB2312" w:eastAsia="仿宋_GB2312"/>
                <w:sz w:val="24"/>
                <w:szCs w:val="21"/>
              </w:rPr>
            </w:pPr>
          </w:p>
          <w:p w14:paraId="40C3E89D">
            <w:pPr>
              <w:rPr>
                <w:rFonts w:ascii="仿宋_GB2312" w:eastAsia="仿宋_GB2312"/>
                <w:sz w:val="24"/>
                <w:szCs w:val="21"/>
              </w:rPr>
            </w:pPr>
          </w:p>
          <w:p w14:paraId="54FB3478">
            <w:pPr>
              <w:rPr>
                <w:rFonts w:ascii="仿宋_GB2312" w:eastAsia="仿宋_GB2312"/>
                <w:sz w:val="24"/>
                <w:szCs w:val="21"/>
              </w:rPr>
            </w:pPr>
          </w:p>
          <w:p w14:paraId="03507EC2">
            <w:pPr>
              <w:rPr>
                <w:rFonts w:ascii="仿宋_GB2312" w:eastAsia="仿宋_GB2312"/>
                <w:sz w:val="24"/>
                <w:szCs w:val="21"/>
              </w:rPr>
            </w:pPr>
          </w:p>
          <w:p w14:paraId="7C0089F0">
            <w:pPr>
              <w:rPr>
                <w:rFonts w:ascii="仿宋_GB2312" w:eastAsia="仿宋_GB2312"/>
                <w:sz w:val="24"/>
                <w:szCs w:val="21"/>
              </w:rPr>
            </w:pPr>
          </w:p>
          <w:p w14:paraId="4478141E">
            <w:pPr>
              <w:rPr>
                <w:rFonts w:ascii="仿宋_GB2312" w:eastAsia="仿宋_GB2312"/>
                <w:sz w:val="24"/>
                <w:szCs w:val="21"/>
              </w:rPr>
            </w:pPr>
          </w:p>
          <w:p w14:paraId="7F70F208">
            <w:pPr>
              <w:rPr>
                <w:rFonts w:ascii="仿宋_GB2312" w:eastAsia="仿宋_GB2312"/>
                <w:sz w:val="24"/>
                <w:szCs w:val="21"/>
              </w:rPr>
            </w:pPr>
          </w:p>
          <w:p w14:paraId="395B7AD6">
            <w:pPr>
              <w:rPr>
                <w:rFonts w:ascii="仿宋_GB2312" w:eastAsia="仿宋_GB2312"/>
                <w:sz w:val="24"/>
                <w:szCs w:val="21"/>
              </w:rPr>
            </w:pPr>
          </w:p>
          <w:p w14:paraId="7B586F93">
            <w:pPr>
              <w:rPr>
                <w:rFonts w:ascii="仿宋_GB2312" w:eastAsia="仿宋_GB2312"/>
                <w:sz w:val="24"/>
                <w:szCs w:val="21"/>
              </w:rPr>
            </w:pPr>
          </w:p>
          <w:p w14:paraId="7578B111">
            <w:pPr>
              <w:rPr>
                <w:rFonts w:ascii="仿宋_GB2312" w:eastAsia="仿宋_GB2312"/>
                <w:sz w:val="24"/>
                <w:szCs w:val="21"/>
              </w:rPr>
            </w:pPr>
          </w:p>
          <w:p w14:paraId="18960C4A">
            <w:pPr>
              <w:rPr>
                <w:rFonts w:ascii="仿宋_GB2312" w:eastAsia="仿宋_GB2312"/>
                <w:sz w:val="24"/>
                <w:szCs w:val="21"/>
              </w:rPr>
            </w:pPr>
          </w:p>
          <w:p w14:paraId="6C3C70B1">
            <w:pPr>
              <w:rPr>
                <w:rFonts w:ascii="仿宋_GB2312" w:eastAsia="仿宋_GB2312"/>
                <w:sz w:val="24"/>
                <w:szCs w:val="21"/>
              </w:rPr>
            </w:pPr>
          </w:p>
          <w:p w14:paraId="25D9C3CE">
            <w:pPr>
              <w:rPr>
                <w:rFonts w:ascii="仿宋_GB2312" w:eastAsia="仿宋_GB2312" w:cs="Calibri"/>
                <w:sz w:val="24"/>
                <w:szCs w:val="21"/>
              </w:rPr>
            </w:pPr>
          </w:p>
          <w:p w14:paraId="7044CE2F">
            <w:pPr>
              <w:rPr>
                <w:rFonts w:ascii="仿宋_GB2312" w:eastAsia="仿宋_GB2312"/>
                <w:sz w:val="24"/>
                <w:szCs w:val="21"/>
              </w:rPr>
            </w:pPr>
            <w:r>
              <w:rPr>
                <w:rFonts w:hint="eastAsia" w:ascii="仿宋_GB2312" w:eastAsia="仿宋_GB2312"/>
                <w:sz w:val="24"/>
                <w:szCs w:val="21"/>
              </w:rPr>
              <w:t>2.已具备的教学改革与研究基础，单位对课题的支持情况（含有关政策、经费支持及其使用管理机制、保障条件等，可附有关文件），尚缺少的条件和拟解决的途径（不少于500字）。</w:t>
            </w:r>
          </w:p>
          <w:p w14:paraId="7E25D33C">
            <w:pPr>
              <w:rPr>
                <w:rFonts w:ascii="仿宋_GB2312" w:eastAsia="仿宋_GB2312"/>
                <w:sz w:val="24"/>
                <w:szCs w:val="21"/>
              </w:rPr>
            </w:pPr>
          </w:p>
          <w:p w14:paraId="2047AA32">
            <w:pPr>
              <w:rPr>
                <w:rFonts w:ascii="仿宋_GB2312" w:eastAsia="仿宋_GB2312"/>
                <w:sz w:val="24"/>
                <w:szCs w:val="21"/>
              </w:rPr>
            </w:pPr>
          </w:p>
          <w:p w14:paraId="5B197F34">
            <w:pPr>
              <w:rPr>
                <w:rFonts w:ascii="仿宋_GB2312" w:eastAsia="仿宋_GB2312"/>
                <w:sz w:val="24"/>
                <w:szCs w:val="21"/>
              </w:rPr>
            </w:pPr>
          </w:p>
          <w:p w14:paraId="6616718F">
            <w:pPr>
              <w:rPr>
                <w:rFonts w:ascii="仿宋_GB2312" w:eastAsia="仿宋_GB2312"/>
                <w:sz w:val="24"/>
                <w:szCs w:val="21"/>
              </w:rPr>
            </w:pPr>
          </w:p>
          <w:p w14:paraId="5AB4C554">
            <w:pPr>
              <w:rPr>
                <w:rFonts w:ascii="仿宋_GB2312" w:eastAsia="仿宋_GB2312"/>
                <w:sz w:val="24"/>
                <w:szCs w:val="21"/>
              </w:rPr>
            </w:pPr>
          </w:p>
          <w:p w14:paraId="5EB3D6AA">
            <w:pPr>
              <w:rPr>
                <w:rFonts w:ascii="仿宋_GB2312" w:eastAsia="仿宋_GB2312"/>
                <w:sz w:val="24"/>
                <w:szCs w:val="21"/>
              </w:rPr>
            </w:pPr>
          </w:p>
          <w:p w14:paraId="75804161">
            <w:pPr>
              <w:rPr>
                <w:rFonts w:ascii="仿宋_GB2312" w:eastAsia="仿宋_GB2312"/>
                <w:sz w:val="24"/>
                <w:szCs w:val="21"/>
              </w:rPr>
            </w:pPr>
          </w:p>
          <w:p w14:paraId="1F96327C">
            <w:pPr>
              <w:rPr>
                <w:rFonts w:ascii="仿宋_GB2312" w:eastAsia="仿宋_GB2312"/>
                <w:sz w:val="24"/>
                <w:szCs w:val="21"/>
              </w:rPr>
            </w:pPr>
          </w:p>
          <w:p w14:paraId="531B642C">
            <w:pPr>
              <w:rPr>
                <w:rFonts w:ascii="仿宋_GB2312" w:eastAsia="仿宋_GB2312"/>
                <w:sz w:val="24"/>
                <w:szCs w:val="21"/>
              </w:rPr>
            </w:pPr>
          </w:p>
          <w:p w14:paraId="26AB3675">
            <w:pPr>
              <w:rPr>
                <w:rFonts w:ascii="仿宋_GB2312" w:eastAsia="仿宋_GB2312"/>
                <w:sz w:val="24"/>
                <w:szCs w:val="21"/>
              </w:rPr>
            </w:pPr>
          </w:p>
          <w:p w14:paraId="221C96EB">
            <w:pPr>
              <w:rPr>
                <w:rFonts w:ascii="仿宋_GB2312" w:eastAsia="仿宋_GB2312"/>
                <w:sz w:val="24"/>
                <w:szCs w:val="21"/>
              </w:rPr>
            </w:pPr>
          </w:p>
          <w:p w14:paraId="6A81F693">
            <w:pPr>
              <w:rPr>
                <w:rFonts w:ascii="仿宋_GB2312" w:eastAsia="仿宋_GB2312"/>
                <w:sz w:val="24"/>
                <w:szCs w:val="21"/>
              </w:rPr>
            </w:pPr>
          </w:p>
          <w:p w14:paraId="5F1F9E1C">
            <w:pPr>
              <w:rPr>
                <w:rFonts w:ascii="仿宋_GB2312" w:eastAsia="仿宋_GB2312"/>
                <w:sz w:val="24"/>
                <w:szCs w:val="21"/>
              </w:rPr>
            </w:pPr>
          </w:p>
          <w:p w14:paraId="249DE8DC">
            <w:pPr>
              <w:rPr>
                <w:rFonts w:ascii="仿宋_GB2312" w:eastAsia="仿宋_GB2312"/>
                <w:sz w:val="24"/>
                <w:szCs w:val="21"/>
              </w:rPr>
            </w:pPr>
          </w:p>
          <w:p w14:paraId="4A1AD494">
            <w:pPr>
              <w:rPr>
                <w:rFonts w:ascii="仿宋_GB2312" w:eastAsia="仿宋_GB2312"/>
                <w:sz w:val="24"/>
                <w:szCs w:val="21"/>
              </w:rPr>
            </w:pPr>
          </w:p>
          <w:p w14:paraId="3E8BD81D">
            <w:pPr>
              <w:rPr>
                <w:rFonts w:ascii="仿宋_GB2312" w:eastAsia="仿宋_GB2312"/>
                <w:sz w:val="24"/>
                <w:szCs w:val="21"/>
              </w:rPr>
            </w:pPr>
          </w:p>
          <w:p w14:paraId="361E4F2E">
            <w:pPr>
              <w:rPr>
                <w:rFonts w:ascii="仿宋_GB2312" w:eastAsia="仿宋_GB2312"/>
                <w:sz w:val="24"/>
                <w:szCs w:val="21"/>
              </w:rPr>
            </w:pPr>
          </w:p>
          <w:p w14:paraId="4CA07FAF">
            <w:pPr>
              <w:rPr>
                <w:rFonts w:ascii="仿宋_GB2312" w:eastAsia="仿宋_GB2312"/>
                <w:sz w:val="24"/>
                <w:szCs w:val="21"/>
              </w:rPr>
            </w:pPr>
          </w:p>
        </w:tc>
      </w:tr>
    </w:tbl>
    <w:p w14:paraId="1BBEFBCA">
      <w:pPr>
        <w:spacing w:line="585" w:lineRule="exact"/>
        <w:ind w:firstLine="640" w:firstLineChars="200"/>
        <w:rPr>
          <w:rFonts w:eastAsia="黑体"/>
          <w:sz w:val="32"/>
        </w:rPr>
      </w:pPr>
      <w:r>
        <w:rPr>
          <w:rFonts w:hint="eastAsia" w:eastAsia="黑体"/>
          <w:sz w:val="32"/>
        </w:rPr>
        <w:t>二、课题论证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5"/>
      </w:tblGrid>
      <w:tr w14:paraId="2D8F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8815" w:type="dxa"/>
            <w:vAlign w:val="center"/>
          </w:tcPr>
          <w:p w14:paraId="113913A1">
            <w:pPr>
              <w:rPr>
                <w:rFonts w:ascii="仿宋_GB2312" w:eastAsia="仿宋_GB2312"/>
                <w:sz w:val="24"/>
                <w:szCs w:val="21"/>
              </w:rPr>
            </w:pPr>
            <w:r>
              <w:rPr>
                <w:rFonts w:hint="eastAsia" w:ascii="仿宋_GB2312" w:hAnsi="宋体" w:eastAsia="仿宋_GB2312"/>
                <w:sz w:val="24"/>
                <w:szCs w:val="21"/>
              </w:rPr>
              <w:t>（一）对研究课题的论证：本课题选题的依据（选题的现实背景或问题、国内外同类课题研究状况等）、研究目标、理论假设、基本内容、重点和难点；本课题的理论意义和实践意义。</w:t>
            </w:r>
            <w:r>
              <w:rPr>
                <w:rFonts w:hint="eastAsia" w:ascii="仿宋_GB2312" w:eastAsia="仿宋_GB2312"/>
                <w:sz w:val="24"/>
                <w:szCs w:val="21"/>
              </w:rPr>
              <w:t>本课题的特色创新、推广应用价值及途径（请逐条列点进行阐述，字数不少于2000字）。</w:t>
            </w:r>
          </w:p>
        </w:tc>
      </w:tr>
      <w:tr w14:paraId="154C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1" w:hRule="atLeast"/>
          <w:jc w:val="center"/>
        </w:trPr>
        <w:tc>
          <w:tcPr>
            <w:tcW w:w="8815" w:type="dxa"/>
          </w:tcPr>
          <w:p w14:paraId="12A6EAE3">
            <w:pPr>
              <w:rPr>
                <w:rFonts w:ascii="仿宋_GB2312" w:eastAsia="仿宋_GB2312"/>
                <w:sz w:val="24"/>
                <w:szCs w:val="21"/>
              </w:rPr>
            </w:pPr>
          </w:p>
          <w:p w14:paraId="546600CE">
            <w:pPr>
              <w:rPr>
                <w:rFonts w:ascii="仿宋_GB2312" w:eastAsia="仿宋_GB2312"/>
                <w:sz w:val="24"/>
                <w:szCs w:val="21"/>
              </w:rPr>
            </w:pPr>
          </w:p>
          <w:p w14:paraId="1D0FBA89">
            <w:pPr>
              <w:rPr>
                <w:rFonts w:ascii="仿宋_GB2312" w:eastAsia="仿宋_GB2312"/>
                <w:sz w:val="24"/>
                <w:szCs w:val="21"/>
              </w:rPr>
            </w:pPr>
          </w:p>
          <w:p w14:paraId="2FA8CBDF">
            <w:pPr>
              <w:rPr>
                <w:rFonts w:ascii="仿宋_GB2312" w:eastAsia="仿宋_GB2312"/>
                <w:sz w:val="24"/>
                <w:szCs w:val="21"/>
              </w:rPr>
            </w:pPr>
          </w:p>
          <w:p w14:paraId="224B7900">
            <w:pPr>
              <w:rPr>
                <w:rFonts w:ascii="仿宋_GB2312" w:eastAsia="仿宋_GB2312"/>
                <w:sz w:val="24"/>
                <w:szCs w:val="21"/>
              </w:rPr>
            </w:pPr>
          </w:p>
          <w:p w14:paraId="300AACB1">
            <w:pPr>
              <w:rPr>
                <w:rFonts w:ascii="仿宋_GB2312" w:eastAsia="仿宋_GB2312"/>
                <w:sz w:val="24"/>
                <w:szCs w:val="21"/>
              </w:rPr>
            </w:pPr>
          </w:p>
          <w:p w14:paraId="68CFF67B">
            <w:pPr>
              <w:rPr>
                <w:rFonts w:ascii="仿宋_GB2312" w:eastAsia="仿宋_GB2312"/>
                <w:sz w:val="24"/>
                <w:szCs w:val="21"/>
              </w:rPr>
            </w:pPr>
          </w:p>
          <w:p w14:paraId="20E25968">
            <w:pPr>
              <w:rPr>
                <w:rFonts w:ascii="仿宋_GB2312" w:eastAsia="仿宋_GB2312"/>
                <w:sz w:val="24"/>
                <w:szCs w:val="21"/>
              </w:rPr>
            </w:pPr>
          </w:p>
          <w:p w14:paraId="2A812800">
            <w:pPr>
              <w:rPr>
                <w:rFonts w:ascii="仿宋_GB2312" w:eastAsia="仿宋_GB2312"/>
                <w:sz w:val="24"/>
                <w:szCs w:val="21"/>
              </w:rPr>
            </w:pPr>
          </w:p>
          <w:p w14:paraId="4EE08346">
            <w:pPr>
              <w:rPr>
                <w:rFonts w:ascii="仿宋_GB2312" w:eastAsia="仿宋_GB2312"/>
                <w:sz w:val="24"/>
                <w:szCs w:val="21"/>
              </w:rPr>
            </w:pPr>
          </w:p>
          <w:p w14:paraId="476A0D70">
            <w:pPr>
              <w:rPr>
                <w:rFonts w:ascii="仿宋_GB2312" w:eastAsia="仿宋_GB2312"/>
                <w:sz w:val="24"/>
                <w:szCs w:val="21"/>
              </w:rPr>
            </w:pPr>
          </w:p>
          <w:p w14:paraId="635414F5">
            <w:pPr>
              <w:rPr>
                <w:rFonts w:ascii="仿宋_GB2312" w:eastAsia="仿宋_GB2312"/>
                <w:sz w:val="24"/>
                <w:szCs w:val="21"/>
              </w:rPr>
            </w:pPr>
          </w:p>
          <w:p w14:paraId="2BDFB78D">
            <w:pPr>
              <w:rPr>
                <w:rFonts w:ascii="仿宋_GB2312" w:eastAsia="仿宋_GB2312"/>
                <w:sz w:val="24"/>
                <w:szCs w:val="21"/>
              </w:rPr>
            </w:pPr>
          </w:p>
          <w:p w14:paraId="5164EFFC">
            <w:pPr>
              <w:rPr>
                <w:rFonts w:ascii="仿宋_GB2312" w:eastAsia="仿宋_GB2312"/>
                <w:sz w:val="24"/>
                <w:szCs w:val="21"/>
              </w:rPr>
            </w:pPr>
          </w:p>
          <w:p w14:paraId="31B4F53C">
            <w:pPr>
              <w:rPr>
                <w:rFonts w:ascii="仿宋_GB2312" w:eastAsia="仿宋_GB2312"/>
                <w:sz w:val="24"/>
                <w:szCs w:val="21"/>
              </w:rPr>
            </w:pPr>
          </w:p>
          <w:p w14:paraId="171625B3">
            <w:pPr>
              <w:rPr>
                <w:rFonts w:ascii="仿宋_GB2312" w:eastAsia="仿宋_GB2312"/>
                <w:sz w:val="24"/>
                <w:szCs w:val="21"/>
              </w:rPr>
            </w:pPr>
          </w:p>
          <w:p w14:paraId="1B7932A9">
            <w:pPr>
              <w:rPr>
                <w:rFonts w:ascii="仿宋_GB2312" w:eastAsia="仿宋_GB2312"/>
                <w:sz w:val="24"/>
                <w:szCs w:val="21"/>
              </w:rPr>
            </w:pPr>
          </w:p>
          <w:p w14:paraId="6AA95252">
            <w:pPr>
              <w:rPr>
                <w:rFonts w:ascii="仿宋_GB2312" w:eastAsia="仿宋_GB2312"/>
                <w:sz w:val="24"/>
                <w:szCs w:val="21"/>
              </w:rPr>
            </w:pPr>
          </w:p>
          <w:p w14:paraId="6230781D">
            <w:pPr>
              <w:rPr>
                <w:rFonts w:ascii="仿宋_GB2312" w:eastAsia="仿宋_GB2312"/>
                <w:sz w:val="24"/>
                <w:szCs w:val="21"/>
              </w:rPr>
            </w:pPr>
          </w:p>
          <w:p w14:paraId="77D678A1">
            <w:pPr>
              <w:rPr>
                <w:rFonts w:ascii="仿宋_GB2312" w:eastAsia="仿宋_GB2312"/>
                <w:sz w:val="24"/>
                <w:szCs w:val="21"/>
              </w:rPr>
            </w:pPr>
          </w:p>
          <w:p w14:paraId="6BEA29EC">
            <w:pPr>
              <w:rPr>
                <w:rFonts w:ascii="仿宋_GB2312" w:eastAsia="仿宋_GB2312"/>
                <w:sz w:val="24"/>
                <w:szCs w:val="21"/>
              </w:rPr>
            </w:pPr>
          </w:p>
          <w:p w14:paraId="1F8B0DD8">
            <w:pPr>
              <w:rPr>
                <w:rFonts w:ascii="仿宋_GB2312" w:eastAsia="仿宋_GB2312"/>
                <w:sz w:val="24"/>
                <w:szCs w:val="21"/>
              </w:rPr>
            </w:pPr>
          </w:p>
          <w:p w14:paraId="6D66E9A4">
            <w:pPr>
              <w:rPr>
                <w:rFonts w:ascii="仿宋_GB2312" w:eastAsia="仿宋_GB2312"/>
                <w:sz w:val="24"/>
                <w:szCs w:val="21"/>
              </w:rPr>
            </w:pPr>
          </w:p>
          <w:p w14:paraId="1938408B">
            <w:pPr>
              <w:rPr>
                <w:rFonts w:ascii="仿宋_GB2312" w:eastAsia="仿宋_GB2312"/>
                <w:sz w:val="24"/>
                <w:szCs w:val="21"/>
              </w:rPr>
            </w:pPr>
          </w:p>
          <w:p w14:paraId="0EBAEA0C">
            <w:pPr>
              <w:rPr>
                <w:rFonts w:ascii="仿宋_GB2312" w:eastAsia="仿宋_GB2312"/>
                <w:sz w:val="24"/>
                <w:szCs w:val="21"/>
              </w:rPr>
            </w:pPr>
          </w:p>
          <w:p w14:paraId="323CEDE3">
            <w:pPr>
              <w:rPr>
                <w:rFonts w:ascii="仿宋_GB2312" w:eastAsia="仿宋_GB2312"/>
                <w:sz w:val="24"/>
                <w:szCs w:val="21"/>
              </w:rPr>
            </w:pPr>
          </w:p>
          <w:p w14:paraId="7E35446F">
            <w:pPr>
              <w:rPr>
                <w:rFonts w:ascii="仿宋_GB2312" w:eastAsia="仿宋_GB2312"/>
                <w:sz w:val="24"/>
                <w:szCs w:val="21"/>
              </w:rPr>
            </w:pPr>
          </w:p>
          <w:p w14:paraId="1D673699">
            <w:pPr>
              <w:rPr>
                <w:rFonts w:ascii="仿宋_GB2312" w:eastAsia="仿宋_GB2312"/>
                <w:sz w:val="24"/>
                <w:szCs w:val="21"/>
              </w:rPr>
            </w:pPr>
          </w:p>
          <w:p w14:paraId="13036ADB">
            <w:pPr>
              <w:rPr>
                <w:rFonts w:ascii="仿宋_GB2312" w:eastAsia="仿宋_GB2312"/>
                <w:sz w:val="24"/>
                <w:szCs w:val="21"/>
              </w:rPr>
            </w:pPr>
          </w:p>
          <w:p w14:paraId="4FCE500F">
            <w:pPr>
              <w:rPr>
                <w:rFonts w:ascii="仿宋_GB2312" w:eastAsia="仿宋_GB2312"/>
                <w:sz w:val="24"/>
                <w:szCs w:val="21"/>
              </w:rPr>
            </w:pPr>
          </w:p>
          <w:p w14:paraId="1EDCACEB">
            <w:pPr>
              <w:rPr>
                <w:rFonts w:ascii="仿宋_GB2312" w:eastAsia="仿宋_GB2312"/>
                <w:sz w:val="24"/>
                <w:szCs w:val="21"/>
              </w:rPr>
            </w:pPr>
          </w:p>
          <w:p w14:paraId="19907C86">
            <w:pPr>
              <w:rPr>
                <w:rFonts w:ascii="仿宋_GB2312" w:eastAsia="仿宋_GB2312"/>
                <w:sz w:val="24"/>
                <w:szCs w:val="21"/>
              </w:rPr>
            </w:pPr>
          </w:p>
          <w:p w14:paraId="45AFABEF">
            <w:pPr>
              <w:rPr>
                <w:rFonts w:ascii="仿宋_GB2312" w:eastAsia="仿宋_GB2312"/>
                <w:sz w:val="24"/>
                <w:szCs w:val="21"/>
              </w:rPr>
            </w:pPr>
          </w:p>
          <w:p w14:paraId="1C24B181">
            <w:pPr>
              <w:rPr>
                <w:rFonts w:ascii="仿宋_GB2312" w:eastAsia="仿宋_GB2312"/>
                <w:sz w:val="24"/>
                <w:szCs w:val="21"/>
              </w:rPr>
            </w:pPr>
          </w:p>
        </w:tc>
      </w:tr>
      <w:tr w14:paraId="2FBF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8815" w:type="dxa"/>
            <w:vAlign w:val="center"/>
          </w:tcPr>
          <w:p w14:paraId="70469BE9">
            <w:pPr>
              <w:rPr>
                <w:rFonts w:ascii="仿宋_GB2312" w:eastAsia="仿宋_GB2312"/>
                <w:sz w:val="24"/>
                <w:szCs w:val="21"/>
              </w:rPr>
            </w:pPr>
            <w:r>
              <w:rPr>
                <w:rFonts w:hint="eastAsia" w:ascii="仿宋_GB2312" w:hAnsi="宋体" w:eastAsia="仿宋_GB2312"/>
                <w:sz w:val="24"/>
                <w:szCs w:val="21"/>
              </w:rPr>
              <w:t>（二）对课题实施和完成条件的论证：负责人的研究水平、组织能力和时间保证；参与人员的研究水平和时间保证；资料设备，科研手段等。</w:t>
            </w:r>
          </w:p>
        </w:tc>
      </w:tr>
      <w:tr w14:paraId="30CF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0" w:hRule="atLeast"/>
          <w:jc w:val="center"/>
        </w:trPr>
        <w:tc>
          <w:tcPr>
            <w:tcW w:w="8815" w:type="dxa"/>
          </w:tcPr>
          <w:p w14:paraId="43E0BCE0">
            <w:pPr>
              <w:rPr>
                <w:rFonts w:ascii="仿宋_GB2312" w:eastAsia="仿宋_GB2312"/>
                <w:sz w:val="24"/>
                <w:szCs w:val="21"/>
              </w:rPr>
            </w:pPr>
          </w:p>
        </w:tc>
      </w:tr>
    </w:tbl>
    <w:p w14:paraId="0D05C888">
      <w:pPr>
        <w:spacing w:line="585" w:lineRule="exact"/>
        <w:ind w:firstLine="640" w:firstLineChars="200"/>
        <w:rPr>
          <w:rFonts w:eastAsia="黑体"/>
          <w:sz w:val="32"/>
        </w:rPr>
      </w:pPr>
      <w:r>
        <w:rPr>
          <w:rFonts w:hint="eastAsia" w:eastAsia="黑体"/>
          <w:sz w:val="32"/>
        </w:rPr>
        <w:t>三、实施方案（具体操作过程和研究方法）</w:t>
      </w:r>
    </w:p>
    <w:tbl>
      <w:tblPr>
        <w:tblStyle w:val="8"/>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8"/>
      </w:tblGrid>
      <w:tr w14:paraId="1607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4" w:hRule="atLeast"/>
          <w:jc w:val="center"/>
        </w:trPr>
        <w:tc>
          <w:tcPr>
            <w:tcW w:w="8718" w:type="dxa"/>
          </w:tcPr>
          <w:p w14:paraId="5CE262BD">
            <w:pPr>
              <w:rPr>
                <w:rFonts w:ascii="仿宋_GB2312" w:eastAsia="仿宋_GB2312"/>
                <w:color w:val="FF0000"/>
                <w:sz w:val="24"/>
              </w:rPr>
            </w:pPr>
          </w:p>
          <w:p w14:paraId="503916F4">
            <w:pPr>
              <w:ind w:firstLine="240" w:firstLineChars="100"/>
              <w:rPr>
                <w:rFonts w:ascii="仿宋_GB2312" w:eastAsia="仿宋_GB2312"/>
                <w:sz w:val="24"/>
              </w:rPr>
            </w:pPr>
            <w:r>
              <w:rPr>
                <w:rFonts w:hint="eastAsia" w:ascii="仿宋_GB2312" w:eastAsia="仿宋_GB2312"/>
                <w:sz w:val="24"/>
              </w:rPr>
              <w:t>（一）研究基本思路</w:t>
            </w:r>
          </w:p>
          <w:p w14:paraId="25A07704">
            <w:pPr>
              <w:rPr>
                <w:rFonts w:ascii="仿宋_GB2312" w:eastAsia="仿宋_GB2312"/>
                <w:sz w:val="24"/>
              </w:rPr>
            </w:pPr>
          </w:p>
          <w:p w14:paraId="6A4A471C">
            <w:pPr>
              <w:rPr>
                <w:rFonts w:ascii="仿宋_GB2312" w:eastAsia="仿宋_GB2312"/>
                <w:sz w:val="24"/>
              </w:rPr>
            </w:pPr>
          </w:p>
          <w:p w14:paraId="05478800">
            <w:pPr>
              <w:rPr>
                <w:rFonts w:ascii="仿宋_GB2312" w:eastAsia="仿宋_GB2312"/>
                <w:sz w:val="24"/>
              </w:rPr>
            </w:pPr>
          </w:p>
          <w:p w14:paraId="0AEA3073">
            <w:pPr>
              <w:rPr>
                <w:rFonts w:ascii="仿宋_GB2312" w:eastAsia="仿宋_GB2312"/>
                <w:sz w:val="24"/>
              </w:rPr>
            </w:pPr>
          </w:p>
          <w:p w14:paraId="3BC95FCC">
            <w:pPr>
              <w:rPr>
                <w:rFonts w:ascii="仿宋_GB2312" w:eastAsia="仿宋_GB2312"/>
                <w:sz w:val="24"/>
              </w:rPr>
            </w:pPr>
          </w:p>
          <w:p w14:paraId="31A938C1">
            <w:pPr>
              <w:rPr>
                <w:rFonts w:ascii="仿宋_GB2312" w:eastAsia="仿宋_GB2312"/>
                <w:sz w:val="24"/>
              </w:rPr>
            </w:pPr>
          </w:p>
          <w:p w14:paraId="00FD07B5">
            <w:pPr>
              <w:rPr>
                <w:rFonts w:ascii="仿宋_GB2312" w:eastAsia="仿宋_GB2312"/>
                <w:sz w:val="24"/>
              </w:rPr>
            </w:pPr>
          </w:p>
          <w:p w14:paraId="2AFB1333">
            <w:pPr>
              <w:ind w:firstLine="240" w:firstLineChars="100"/>
              <w:rPr>
                <w:rFonts w:ascii="仿宋_GB2312" w:eastAsia="仿宋_GB2312"/>
                <w:sz w:val="24"/>
              </w:rPr>
            </w:pPr>
            <w:r>
              <w:rPr>
                <w:rFonts w:hint="eastAsia" w:ascii="仿宋_GB2312" w:eastAsia="仿宋_GB2312"/>
                <w:sz w:val="24"/>
              </w:rPr>
              <w:t>（二）主要研究方法</w:t>
            </w:r>
          </w:p>
          <w:p w14:paraId="4D193EB1">
            <w:pPr>
              <w:rPr>
                <w:rFonts w:ascii="仿宋_GB2312" w:eastAsia="仿宋_GB2312"/>
                <w:sz w:val="24"/>
              </w:rPr>
            </w:pPr>
          </w:p>
          <w:p w14:paraId="2DDD5253">
            <w:pPr>
              <w:rPr>
                <w:rFonts w:ascii="仿宋_GB2312" w:eastAsia="仿宋_GB2312"/>
                <w:color w:val="000000"/>
                <w:sz w:val="24"/>
              </w:rPr>
            </w:pPr>
          </w:p>
          <w:p w14:paraId="55622760">
            <w:pPr>
              <w:rPr>
                <w:rFonts w:ascii="仿宋_GB2312" w:eastAsia="仿宋_GB2312"/>
                <w:color w:val="000000"/>
                <w:sz w:val="24"/>
              </w:rPr>
            </w:pPr>
          </w:p>
          <w:p w14:paraId="27ED06C9">
            <w:pPr>
              <w:rPr>
                <w:rFonts w:ascii="仿宋_GB2312" w:eastAsia="仿宋_GB2312"/>
                <w:color w:val="000000"/>
                <w:sz w:val="24"/>
              </w:rPr>
            </w:pPr>
          </w:p>
          <w:p w14:paraId="4CE0D9C6">
            <w:pPr>
              <w:rPr>
                <w:rFonts w:ascii="仿宋_GB2312" w:eastAsia="仿宋_GB2312"/>
                <w:color w:val="000000"/>
                <w:sz w:val="24"/>
              </w:rPr>
            </w:pPr>
          </w:p>
          <w:p w14:paraId="57FDA6CA">
            <w:pPr>
              <w:rPr>
                <w:rFonts w:ascii="仿宋_GB2312" w:eastAsia="仿宋_GB2312"/>
                <w:color w:val="000000"/>
                <w:sz w:val="24"/>
              </w:rPr>
            </w:pPr>
          </w:p>
          <w:p w14:paraId="0522FA5B">
            <w:pPr>
              <w:rPr>
                <w:rFonts w:ascii="仿宋_GB2312" w:eastAsia="仿宋_GB2312"/>
                <w:color w:val="000000"/>
                <w:sz w:val="24"/>
              </w:rPr>
            </w:pPr>
          </w:p>
          <w:p w14:paraId="693F7C6B">
            <w:pPr>
              <w:rPr>
                <w:rFonts w:ascii="仿宋_GB2312" w:eastAsia="仿宋_GB2312"/>
                <w:color w:val="000000"/>
                <w:sz w:val="24"/>
              </w:rPr>
            </w:pPr>
          </w:p>
          <w:p w14:paraId="4C554CF5">
            <w:pPr>
              <w:ind w:firstLine="240" w:firstLineChars="100"/>
              <w:rPr>
                <w:rFonts w:ascii="仿宋_GB2312" w:eastAsia="仿宋_GB2312"/>
                <w:color w:val="000000"/>
                <w:sz w:val="24"/>
              </w:rPr>
            </w:pPr>
            <w:r>
              <w:rPr>
                <w:rFonts w:hint="eastAsia" w:ascii="仿宋_GB2312" w:eastAsia="仿宋_GB2312"/>
                <w:color w:val="000000"/>
                <w:sz w:val="24"/>
              </w:rPr>
              <w:t>（三）研究步骤和时间（按年度进展情况）</w:t>
            </w:r>
          </w:p>
          <w:p w14:paraId="199AB4BB">
            <w:pPr>
              <w:ind w:left="360"/>
              <w:rPr>
                <w:rFonts w:ascii="仿宋_GB2312" w:eastAsia="仿宋_GB2312"/>
                <w:color w:val="000000"/>
                <w:sz w:val="24"/>
              </w:rPr>
            </w:pPr>
          </w:p>
          <w:p w14:paraId="4F200CE6">
            <w:pPr>
              <w:rPr>
                <w:rFonts w:ascii="仿宋_GB2312" w:eastAsia="仿宋_GB2312"/>
                <w:sz w:val="24"/>
              </w:rPr>
            </w:pPr>
          </w:p>
        </w:tc>
      </w:tr>
    </w:tbl>
    <w:p w14:paraId="6570D480">
      <w:pPr>
        <w:sectPr>
          <w:pgSz w:w="11907" w:h="16838"/>
          <w:pgMar w:top="2155" w:right="1435" w:bottom="1588" w:left="1435" w:header="851" w:footer="1588" w:gutter="0"/>
          <w:cols w:space="720" w:num="1"/>
          <w:docGrid w:linePitch="312" w:charSpace="0"/>
        </w:sectPr>
      </w:pPr>
    </w:p>
    <w:p w14:paraId="4051B06C">
      <w:pPr>
        <w:spacing w:line="585" w:lineRule="exact"/>
        <w:ind w:firstLine="640" w:firstLineChars="200"/>
        <w:rPr>
          <w:rFonts w:eastAsia="黑体" w:cs="Calibri"/>
          <w:sz w:val="32"/>
          <w:szCs w:val="21"/>
        </w:rPr>
      </w:pPr>
      <w:r>
        <w:rPr>
          <w:rFonts w:hint="eastAsia" w:eastAsia="黑体" w:cs="Calibri"/>
          <w:sz w:val="32"/>
          <w:szCs w:val="21"/>
        </w:rPr>
        <w:t>四、预期研究成果</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976"/>
        <w:gridCol w:w="1677"/>
        <w:gridCol w:w="1678"/>
        <w:gridCol w:w="1678"/>
      </w:tblGrid>
      <w:tr w14:paraId="1192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3911110A">
            <w:pPr>
              <w:jc w:val="center"/>
              <w:rPr>
                <w:rFonts w:ascii="黑体" w:hAnsi="黑体" w:eastAsia="黑体"/>
                <w:sz w:val="24"/>
                <w:szCs w:val="21"/>
              </w:rPr>
            </w:pPr>
            <w:r>
              <w:rPr>
                <w:rFonts w:hint="eastAsia" w:ascii="黑体" w:hAnsi="黑体" w:eastAsia="黑体"/>
                <w:sz w:val="24"/>
                <w:szCs w:val="21"/>
              </w:rPr>
              <w:t>序号</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6C08D46B">
            <w:pPr>
              <w:jc w:val="center"/>
              <w:rPr>
                <w:rFonts w:ascii="黑体" w:hAnsi="黑体" w:eastAsia="黑体"/>
                <w:sz w:val="24"/>
                <w:szCs w:val="21"/>
              </w:rPr>
            </w:pPr>
            <w:r>
              <w:rPr>
                <w:rFonts w:hint="eastAsia" w:ascii="黑体" w:hAnsi="黑体" w:eastAsia="黑体"/>
                <w:sz w:val="24"/>
                <w:szCs w:val="21"/>
              </w:rPr>
              <w:t>研究阶段（起止时间）</w:t>
            </w: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7384ED5D">
            <w:pPr>
              <w:jc w:val="center"/>
              <w:rPr>
                <w:rFonts w:ascii="黑体" w:hAnsi="黑体" w:eastAsia="黑体"/>
                <w:sz w:val="24"/>
                <w:szCs w:val="21"/>
              </w:rPr>
            </w:pPr>
            <w:r>
              <w:rPr>
                <w:rFonts w:hint="eastAsia" w:ascii="黑体" w:hAnsi="黑体" w:eastAsia="黑体"/>
                <w:sz w:val="24"/>
                <w:szCs w:val="21"/>
              </w:rPr>
              <w:t>成果名称</w:t>
            </w: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EFFD92F">
            <w:pPr>
              <w:jc w:val="center"/>
              <w:rPr>
                <w:rFonts w:ascii="黑体" w:hAnsi="黑体" w:eastAsia="黑体"/>
                <w:sz w:val="24"/>
                <w:szCs w:val="21"/>
              </w:rPr>
            </w:pPr>
            <w:r>
              <w:rPr>
                <w:rFonts w:hint="eastAsia" w:ascii="黑体" w:hAnsi="黑体" w:eastAsia="黑体"/>
                <w:sz w:val="24"/>
                <w:szCs w:val="21"/>
              </w:rPr>
              <w:t>成果形式</w:t>
            </w: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77BE32F">
            <w:pPr>
              <w:jc w:val="center"/>
              <w:rPr>
                <w:rFonts w:ascii="黑体" w:hAnsi="黑体" w:eastAsia="黑体"/>
                <w:sz w:val="24"/>
                <w:szCs w:val="21"/>
              </w:rPr>
            </w:pPr>
            <w:r>
              <w:rPr>
                <w:rFonts w:hint="eastAsia" w:ascii="黑体" w:hAnsi="黑体" w:eastAsia="黑体"/>
                <w:sz w:val="24"/>
                <w:szCs w:val="21"/>
              </w:rPr>
              <w:t>承担人</w:t>
            </w:r>
          </w:p>
        </w:tc>
      </w:tr>
      <w:tr w14:paraId="4797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26CC0098">
            <w:pPr>
              <w:jc w:val="center"/>
              <w:rPr>
                <w:rFonts w:ascii="仿宋_GB2312" w:eastAsia="仿宋_GB2312" w:cs="Calibri"/>
                <w:sz w:val="24"/>
                <w:szCs w:val="21"/>
              </w:rPr>
            </w:pPr>
            <w:r>
              <w:rPr>
                <w:rFonts w:hint="eastAsia" w:ascii="仿宋_GB2312" w:eastAsia="仿宋_GB2312" w:cs="Calibri"/>
                <w:sz w:val="24"/>
                <w:szCs w:val="21"/>
              </w:rPr>
              <w:t>1</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0C03BA06">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61123B45">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23D484D6">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19238BB3">
            <w:pPr>
              <w:jc w:val="center"/>
              <w:rPr>
                <w:rFonts w:ascii="仿宋_GB2312" w:eastAsia="仿宋_GB2312" w:cs="Calibri"/>
                <w:sz w:val="24"/>
                <w:szCs w:val="21"/>
              </w:rPr>
            </w:pPr>
          </w:p>
        </w:tc>
      </w:tr>
      <w:tr w14:paraId="6C8C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02101DDA">
            <w:pPr>
              <w:jc w:val="center"/>
              <w:rPr>
                <w:rFonts w:ascii="仿宋_GB2312" w:eastAsia="仿宋_GB2312" w:cs="Calibri"/>
                <w:sz w:val="24"/>
                <w:szCs w:val="21"/>
              </w:rPr>
            </w:pPr>
            <w:r>
              <w:rPr>
                <w:rFonts w:hint="eastAsia" w:ascii="仿宋_GB2312" w:eastAsia="仿宋_GB2312" w:cs="Calibri"/>
                <w:sz w:val="24"/>
                <w:szCs w:val="21"/>
              </w:rPr>
              <w:t>2</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02A2F2AB">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0B27203E">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8F7BD0D">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17B0796">
            <w:pPr>
              <w:jc w:val="center"/>
              <w:rPr>
                <w:rFonts w:ascii="仿宋_GB2312" w:eastAsia="仿宋_GB2312" w:cs="Calibri"/>
                <w:sz w:val="24"/>
                <w:szCs w:val="21"/>
              </w:rPr>
            </w:pPr>
          </w:p>
        </w:tc>
      </w:tr>
      <w:tr w14:paraId="643D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11387F8B">
            <w:pPr>
              <w:jc w:val="center"/>
              <w:rPr>
                <w:rFonts w:ascii="仿宋_GB2312" w:eastAsia="仿宋_GB2312" w:cs="Calibri"/>
                <w:sz w:val="24"/>
                <w:szCs w:val="21"/>
              </w:rPr>
            </w:pPr>
            <w:r>
              <w:rPr>
                <w:rFonts w:hint="eastAsia" w:ascii="仿宋_GB2312" w:eastAsia="仿宋_GB2312" w:cs="Calibri"/>
                <w:sz w:val="24"/>
                <w:szCs w:val="21"/>
              </w:rPr>
              <w:t>3</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0E3FB0A3">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4EDC0856">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D2328A1">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01365AD7">
            <w:pPr>
              <w:jc w:val="center"/>
              <w:rPr>
                <w:rFonts w:ascii="仿宋_GB2312" w:eastAsia="仿宋_GB2312" w:cs="Calibri"/>
                <w:sz w:val="24"/>
                <w:szCs w:val="21"/>
              </w:rPr>
            </w:pPr>
          </w:p>
        </w:tc>
      </w:tr>
      <w:tr w14:paraId="2616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282B3BAC">
            <w:pPr>
              <w:jc w:val="center"/>
              <w:rPr>
                <w:rFonts w:ascii="仿宋_GB2312" w:eastAsia="仿宋_GB2312" w:cs="Calibri"/>
                <w:sz w:val="24"/>
                <w:szCs w:val="21"/>
              </w:rPr>
            </w:pPr>
            <w:r>
              <w:rPr>
                <w:rFonts w:hint="eastAsia" w:ascii="仿宋_GB2312" w:eastAsia="仿宋_GB2312" w:cs="Calibri"/>
                <w:sz w:val="24"/>
                <w:szCs w:val="21"/>
              </w:rPr>
              <w:t>4</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4BE9888F">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3D84E63E">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686B6578">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73A5874A">
            <w:pPr>
              <w:jc w:val="center"/>
              <w:rPr>
                <w:rFonts w:ascii="仿宋_GB2312" w:eastAsia="仿宋_GB2312" w:cs="Calibri"/>
                <w:sz w:val="24"/>
                <w:szCs w:val="21"/>
              </w:rPr>
            </w:pPr>
          </w:p>
        </w:tc>
      </w:tr>
      <w:tr w14:paraId="5E83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52149AEB">
            <w:pPr>
              <w:jc w:val="center"/>
              <w:rPr>
                <w:rFonts w:ascii="仿宋_GB2312" w:eastAsia="仿宋_GB2312" w:cs="Calibri"/>
                <w:sz w:val="24"/>
                <w:szCs w:val="21"/>
              </w:rPr>
            </w:pPr>
            <w:r>
              <w:rPr>
                <w:rFonts w:hint="eastAsia" w:ascii="仿宋_GB2312" w:eastAsia="仿宋_GB2312" w:cs="Calibri"/>
                <w:sz w:val="24"/>
                <w:szCs w:val="21"/>
              </w:rPr>
              <w:t>5</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505B3974">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11467EB1">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460151E4">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46E93E3">
            <w:pPr>
              <w:jc w:val="center"/>
              <w:rPr>
                <w:rFonts w:ascii="仿宋_GB2312" w:eastAsia="仿宋_GB2312" w:cs="Calibri"/>
                <w:sz w:val="24"/>
                <w:szCs w:val="21"/>
              </w:rPr>
            </w:pPr>
          </w:p>
        </w:tc>
      </w:tr>
      <w:tr w14:paraId="5938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299C85D8">
            <w:pPr>
              <w:jc w:val="center"/>
              <w:rPr>
                <w:rFonts w:ascii="仿宋_GB2312" w:eastAsia="仿宋_GB2312" w:cs="Calibri"/>
                <w:sz w:val="24"/>
                <w:szCs w:val="21"/>
              </w:rPr>
            </w:pPr>
            <w:r>
              <w:rPr>
                <w:rFonts w:hint="eastAsia" w:ascii="仿宋_GB2312" w:eastAsia="仿宋_GB2312" w:cs="Calibri"/>
                <w:sz w:val="24"/>
                <w:szCs w:val="21"/>
              </w:rPr>
              <w:t>6</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67E09B4B">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364A1EB2">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0AF0B91F">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B6A0BBE">
            <w:pPr>
              <w:jc w:val="center"/>
              <w:rPr>
                <w:rFonts w:ascii="仿宋_GB2312" w:eastAsia="仿宋_GB2312" w:cs="Calibri"/>
                <w:sz w:val="24"/>
                <w:szCs w:val="21"/>
              </w:rPr>
            </w:pPr>
          </w:p>
        </w:tc>
      </w:tr>
      <w:tr w14:paraId="6CAC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098F5B08">
            <w:pPr>
              <w:jc w:val="center"/>
              <w:rPr>
                <w:rFonts w:ascii="仿宋_GB2312" w:eastAsia="仿宋_GB2312" w:cs="Calibri"/>
                <w:sz w:val="24"/>
                <w:szCs w:val="21"/>
              </w:rPr>
            </w:pPr>
            <w:r>
              <w:rPr>
                <w:rFonts w:hint="eastAsia" w:ascii="仿宋_GB2312" w:eastAsia="仿宋_GB2312" w:cs="Calibri"/>
                <w:sz w:val="24"/>
                <w:szCs w:val="21"/>
              </w:rPr>
              <w:t>7</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6342B71A">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28D5B58F">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7D8097BF">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0C33543">
            <w:pPr>
              <w:jc w:val="center"/>
              <w:rPr>
                <w:rFonts w:ascii="仿宋_GB2312" w:eastAsia="仿宋_GB2312" w:cs="Calibri"/>
                <w:sz w:val="24"/>
                <w:szCs w:val="21"/>
              </w:rPr>
            </w:pPr>
          </w:p>
        </w:tc>
      </w:tr>
      <w:tr w14:paraId="7C79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6D9DE553">
            <w:pPr>
              <w:jc w:val="center"/>
              <w:rPr>
                <w:rFonts w:ascii="仿宋_GB2312" w:eastAsia="仿宋_GB2312" w:cs="Calibri"/>
                <w:sz w:val="24"/>
                <w:szCs w:val="21"/>
              </w:rPr>
            </w:pPr>
            <w:r>
              <w:rPr>
                <w:rFonts w:hint="eastAsia" w:ascii="仿宋_GB2312" w:eastAsia="仿宋_GB2312" w:cs="Calibri"/>
                <w:sz w:val="24"/>
                <w:szCs w:val="21"/>
              </w:rPr>
              <w:t>8</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7DC48A07">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65BA809F">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6D6DBEB1">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5A3B897">
            <w:pPr>
              <w:jc w:val="center"/>
              <w:rPr>
                <w:rFonts w:ascii="仿宋_GB2312" w:eastAsia="仿宋_GB2312" w:cs="Calibri"/>
                <w:sz w:val="24"/>
                <w:szCs w:val="21"/>
              </w:rPr>
            </w:pPr>
          </w:p>
        </w:tc>
      </w:tr>
      <w:tr w14:paraId="1E7E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19B0FABE">
            <w:pPr>
              <w:jc w:val="center"/>
              <w:rPr>
                <w:rFonts w:ascii="仿宋_GB2312" w:eastAsia="仿宋_GB2312" w:cs="Calibri"/>
                <w:sz w:val="24"/>
                <w:szCs w:val="21"/>
              </w:rPr>
            </w:pPr>
            <w:r>
              <w:rPr>
                <w:rFonts w:hint="eastAsia" w:ascii="仿宋_GB2312" w:eastAsia="仿宋_GB2312" w:cs="Calibri"/>
                <w:sz w:val="24"/>
                <w:szCs w:val="21"/>
              </w:rPr>
              <w:t>9</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39A3212F">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6A158CED">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220B73D9">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116C892F">
            <w:pPr>
              <w:jc w:val="center"/>
              <w:rPr>
                <w:rFonts w:ascii="仿宋_GB2312" w:eastAsia="仿宋_GB2312" w:cs="Calibri"/>
                <w:sz w:val="24"/>
                <w:szCs w:val="21"/>
              </w:rPr>
            </w:pPr>
          </w:p>
        </w:tc>
      </w:tr>
      <w:tr w14:paraId="2B92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3AA8800C">
            <w:pPr>
              <w:jc w:val="center"/>
              <w:rPr>
                <w:rFonts w:ascii="仿宋_GB2312" w:eastAsia="仿宋_GB2312" w:cs="Calibri"/>
                <w:sz w:val="24"/>
                <w:szCs w:val="21"/>
              </w:rPr>
            </w:pPr>
            <w:r>
              <w:rPr>
                <w:rFonts w:hint="eastAsia" w:ascii="仿宋_GB2312" w:eastAsia="仿宋_GB2312" w:cs="Calibri"/>
                <w:sz w:val="24"/>
                <w:szCs w:val="21"/>
              </w:rPr>
              <w:t>10</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0297335F">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003D7266">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25FB31D7">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2129AC59">
            <w:pPr>
              <w:jc w:val="center"/>
              <w:rPr>
                <w:rFonts w:ascii="仿宋_GB2312" w:eastAsia="仿宋_GB2312" w:cs="Calibri"/>
                <w:sz w:val="24"/>
                <w:szCs w:val="21"/>
              </w:rPr>
            </w:pPr>
          </w:p>
        </w:tc>
      </w:tr>
      <w:tr w14:paraId="660C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0F230498">
            <w:pPr>
              <w:jc w:val="center"/>
              <w:rPr>
                <w:rFonts w:ascii="仿宋_GB2312" w:eastAsia="仿宋_GB2312" w:cs="Calibri"/>
                <w:sz w:val="24"/>
                <w:szCs w:val="21"/>
              </w:rPr>
            </w:pPr>
            <w:r>
              <w:rPr>
                <w:rFonts w:hint="eastAsia" w:ascii="仿宋_GB2312" w:eastAsia="仿宋_GB2312" w:cs="Calibri"/>
                <w:sz w:val="24"/>
                <w:szCs w:val="21"/>
              </w:rPr>
              <w:t>11</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490C58B3">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4B01E1D1">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73B1D722">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3E59E1FE">
            <w:pPr>
              <w:jc w:val="center"/>
              <w:rPr>
                <w:rFonts w:ascii="仿宋_GB2312" w:eastAsia="仿宋_GB2312" w:cs="Calibri"/>
                <w:sz w:val="24"/>
                <w:szCs w:val="21"/>
              </w:rPr>
            </w:pPr>
          </w:p>
        </w:tc>
      </w:tr>
      <w:tr w14:paraId="15DF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5" w:type="dxa"/>
            <w:tcBorders>
              <w:top w:val="single" w:color="auto" w:sz="4" w:space="0"/>
              <w:left w:val="single" w:color="auto" w:sz="4" w:space="0"/>
              <w:bottom w:val="single" w:color="auto" w:sz="4" w:space="0"/>
              <w:right w:val="single" w:color="auto" w:sz="4" w:space="0"/>
              <w:tl2br w:val="nil"/>
              <w:tr2bl w:val="nil"/>
            </w:tcBorders>
            <w:vAlign w:val="center"/>
          </w:tcPr>
          <w:p w14:paraId="160DF34C">
            <w:pPr>
              <w:jc w:val="center"/>
              <w:rPr>
                <w:rFonts w:ascii="仿宋_GB2312" w:eastAsia="仿宋_GB2312" w:cs="Calibri"/>
                <w:sz w:val="24"/>
                <w:szCs w:val="21"/>
              </w:rPr>
            </w:pPr>
            <w:r>
              <w:rPr>
                <w:rFonts w:hint="eastAsia" w:ascii="仿宋_GB2312" w:eastAsia="仿宋_GB2312" w:cs="Calibri"/>
                <w:sz w:val="24"/>
                <w:szCs w:val="21"/>
              </w:rPr>
              <w:t>12</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26978A06">
            <w:pPr>
              <w:jc w:val="center"/>
              <w:rPr>
                <w:rFonts w:ascii="仿宋_GB2312" w:eastAsia="仿宋_GB2312" w:cs="Calibri"/>
                <w:sz w:val="24"/>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vAlign w:val="center"/>
          </w:tcPr>
          <w:p w14:paraId="64C270FC">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6A07846E">
            <w:pPr>
              <w:jc w:val="center"/>
              <w:rPr>
                <w:rFonts w:ascii="仿宋_GB2312" w:eastAsia="仿宋_GB2312" w:cs="Calibri"/>
                <w:sz w:val="24"/>
                <w:szCs w:val="21"/>
              </w:rPr>
            </w:pPr>
          </w:p>
        </w:tc>
        <w:tc>
          <w:tcPr>
            <w:tcW w:w="1678" w:type="dxa"/>
            <w:tcBorders>
              <w:top w:val="single" w:color="auto" w:sz="4" w:space="0"/>
              <w:left w:val="single" w:color="auto" w:sz="4" w:space="0"/>
              <w:bottom w:val="single" w:color="auto" w:sz="4" w:space="0"/>
              <w:right w:val="single" w:color="auto" w:sz="4" w:space="0"/>
              <w:tl2br w:val="nil"/>
              <w:tr2bl w:val="nil"/>
            </w:tcBorders>
            <w:vAlign w:val="center"/>
          </w:tcPr>
          <w:p w14:paraId="0EDBEF0A">
            <w:pPr>
              <w:jc w:val="center"/>
              <w:rPr>
                <w:rFonts w:ascii="仿宋_GB2312" w:eastAsia="仿宋_GB2312" w:cs="Calibri"/>
                <w:sz w:val="24"/>
                <w:szCs w:val="21"/>
              </w:rPr>
            </w:pPr>
          </w:p>
        </w:tc>
      </w:tr>
    </w:tbl>
    <w:p w14:paraId="0C240994">
      <w:pPr>
        <w:overflowPunct w:val="0"/>
        <w:spacing w:line="600" w:lineRule="exact"/>
      </w:pPr>
      <w:bookmarkStart w:id="1" w:name="_GoBack"/>
      <w:bookmarkEnd w:id="1"/>
    </w:p>
    <w:sectPr>
      <w:pgSz w:w="11907" w:h="16838"/>
      <w:pgMar w:top="2155" w:right="1435" w:bottom="1588" w:left="1435" w:header="851" w:footer="1588"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仿宋">
    <w:altName w:val="方正仿宋_GBK"/>
    <w:panose1 w:val="00000000000000000000"/>
    <w:charset w:val="00"/>
    <w:family w:val="auto"/>
    <w:pitch w:val="default"/>
    <w:sig w:usb0="00000000" w:usb1="00000000" w:usb2="00000000" w:usb3="00000000" w:csb0="00000000" w:csb1="00000000"/>
  </w:font>
  <w:font w:name="文泉驿等宽正黑">
    <w:panose1 w:val="02000603000000000000"/>
    <w:charset w:val="86"/>
    <w:family w:val="auto"/>
    <w:pitch w:val="default"/>
    <w:sig w:usb0="900002BF" w:usb1="2BDF7DFB" w:usb2="00000036" w:usb3="00000000" w:csb0="603E000D" w:csb1="D2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3758"/>
    </w:sdtPr>
    <w:sdtEndPr>
      <w:rPr>
        <w:color w:val="FFFFFF" w:themeColor="background1"/>
      </w:rPr>
    </w:sdtEndPr>
    <w:sdtContent>
      <w:p w14:paraId="695010DD">
        <w:pPr>
          <w:pStyle w:val="6"/>
          <w:jc w:val="right"/>
        </w:pPr>
        <w:r>
          <w:rPr>
            <w:rFonts w:hint="eastAsia" w:ascii="宋体" w:hAnsi="宋体"/>
            <w:color w:val="FFFFFF" w:themeColor="background1"/>
            <w:sz w:val="28"/>
          </w:rPr>
          <w:t>—</w:t>
        </w: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55</w:t>
        </w:r>
        <w:r>
          <w:rPr>
            <w:rFonts w:ascii="宋体" w:hAnsi="宋体"/>
            <w:sz w:val="28"/>
          </w:rPr>
          <w:fldChar w:fldCharType="end"/>
        </w:r>
        <w:r>
          <w:rPr>
            <w:rFonts w:hint="eastAsia" w:ascii="宋体" w:hAnsi="宋体"/>
            <w:sz w:val="28"/>
          </w:rPr>
          <w:t xml:space="preserve"> —</w:t>
        </w:r>
        <w:r>
          <w:rPr>
            <w:rFonts w:hint="eastAsia" w:ascii="宋体" w:hAnsi="宋体"/>
            <w:color w:val="FFFFFF" w:themeColor="background1"/>
            <w:sz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E7C72">
    <w:pPr>
      <w:pStyle w:val="6"/>
      <w:rPr>
        <w:rFonts w:ascii="宋体" w:hAnsi="宋体"/>
        <w:sz w:val="28"/>
      </w:rPr>
    </w:pPr>
    <w:r>
      <w:rPr>
        <w:rFonts w:hint="eastAsia" w:ascii="宋体" w:hAnsi="宋体"/>
        <w:color w:val="FFFFFF"/>
        <w:sz w:val="28"/>
      </w:rPr>
      <w:t>—</w:t>
    </w: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56</w:t>
    </w:r>
    <w:r>
      <w:rPr>
        <w:rFonts w:ascii="宋体" w:hAnsi="宋体"/>
        <w:sz w:val="28"/>
      </w:rPr>
      <w:fldChar w:fldCharType="end"/>
    </w:r>
    <w:r>
      <w:rPr>
        <w:rFonts w:hint="eastAsia" w:ascii="宋体" w:hAnsi="宋体"/>
        <w:sz w:val="28"/>
      </w:rPr>
      <w:t xml:space="preserve"> —</w:t>
    </w:r>
    <w:r>
      <w:rPr>
        <w:rFonts w:hint="eastAsia" w:ascii="宋体" w:hAnsi="宋体"/>
        <w:color w:val="FFFFFF"/>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773"/>
    </w:sdtPr>
    <w:sdtEndPr>
      <w:rPr>
        <w:color w:val="FFFFFF" w:themeColor="background1"/>
      </w:rPr>
    </w:sdtEndPr>
    <w:sdtContent>
      <w:p w14:paraId="58DC355A">
        <w:pPr>
          <w:pStyle w:val="6"/>
          <w:jc w:val="right"/>
        </w:pPr>
        <w:r>
          <w:rPr>
            <w:rFonts w:hint="eastAsia" w:ascii="宋体" w:hAnsi="宋体"/>
            <w:color w:val="FFFFFF" w:themeColor="background1"/>
            <w:sz w:val="28"/>
          </w:rPr>
          <w:t>—</w:t>
        </w: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71</w:t>
        </w:r>
        <w:r>
          <w:rPr>
            <w:rFonts w:ascii="宋体" w:hAnsi="宋体"/>
            <w:sz w:val="28"/>
          </w:rPr>
          <w:fldChar w:fldCharType="end"/>
        </w:r>
        <w:r>
          <w:rPr>
            <w:rFonts w:hint="eastAsia" w:ascii="宋体" w:hAnsi="宋体"/>
            <w:sz w:val="28"/>
          </w:rPr>
          <w:t xml:space="preserve"> —</w:t>
        </w:r>
        <w:r>
          <w:rPr>
            <w:rFonts w:hint="eastAsia" w:ascii="宋体" w:hAnsi="宋体"/>
            <w:color w:val="FFFFFF" w:themeColor="background1"/>
            <w:sz w:val="28"/>
          </w:rPr>
          <w:t>—</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E8543">
    <w:pPr>
      <w:pStyle w:val="6"/>
      <w:rPr>
        <w:rFonts w:ascii="宋体" w:hAnsi="宋体"/>
        <w:sz w:val="28"/>
      </w:rPr>
    </w:pPr>
    <w:r>
      <w:rPr>
        <w:rFonts w:hint="eastAsia" w:ascii="宋体" w:hAnsi="宋体"/>
        <w:color w:val="FFFFFF"/>
        <w:sz w:val="28"/>
      </w:rPr>
      <w:t>—</w:t>
    </w: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72</w:t>
    </w:r>
    <w:r>
      <w:rPr>
        <w:rFonts w:ascii="宋体" w:hAnsi="宋体"/>
        <w:sz w:val="28"/>
      </w:rPr>
      <w:fldChar w:fldCharType="end"/>
    </w:r>
    <w:r>
      <w:rPr>
        <w:rFonts w:hint="eastAsia" w:ascii="宋体" w:hAnsi="宋体"/>
        <w:sz w:val="28"/>
      </w:rPr>
      <w:t xml:space="preserve"> —</w:t>
    </w:r>
    <w:r>
      <w:rPr>
        <w:rFonts w:hint="eastAsia" w:ascii="宋体" w:hAnsi="宋体"/>
        <w:color w:val="FFFFFF"/>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B7BBB">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F327">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9B274">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45A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F4ED62"/>
    <w:multiLevelType w:val="singleLevel"/>
    <w:tmpl w:val="B8F4ED62"/>
    <w:lvl w:ilvl="0" w:tentative="0">
      <w:start w:val="1"/>
      <w:numFmt w:val="chineseCounting"/>
      <w:suff w:val="nothing"/>
      <w:lvlText w:val="%1、"/>
      <w:lvlJc w:val="left"/>
      <w:rPr>
        <w:rFonts w:hint="eastAsia"/>
      </w:rPr>
    </w:lvl>
  </w:abstractNum>
  <w:abstractNum w:abstractNumId="1">
    <w:nsid w:val="1C849086"/>
    <w:multiLevelType w:val="multilevel"/>
    <w:tmpl w:val="1C849086"/>
    <w:lvl w:ilvl="0" w:tentative="0">
      <w:start w:val="2"/>
      <w:numFmt w:val="chineseCounting"/>
      <w:suff w:val="nothing"/>
      <w:lvlText w:val="（%1）"/>
      <w:lvlJc w:val="left"/>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1D18E7F9"/>
    <w:multiLevelType w:val="singleLevel"/>
    <w:tmpl w:val="1D18E7F9"/>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WM_UUID" w:val="a26ec0ec-d1f8-4621-aa87-751ba62e8292"/>
  </w:docVars>
  <w:rsids>
    <w:rsidRoot w:val="00D50D7E"/>
    <w:rsid w:val="00017679"/>
    <w:rsid w:val="000C638E"/>
    <w:rsid w:val="000F23AC"/>
    <w:rsid w:val="00142A1D"/>
    <w:rsid w:val="00187F9C"/>
    <w:rsid w:val="001A48F6"/>
    <w:rsid w:val="001A5B7B"/>
    <w:rsid w:val="00200571"/>
    <w:rsid w:val="002216C5"/>
    <w:rsid w:val="00233938"/>
    <w:rsid w:val="00244233"/>
    <w:rsid w:val="002B1F22"/>
    <w:rsid w:val="002B6488"/>
    <w:rsid w:val="002C2DF1"/>
    <w:rsid w:val="003437D4"/>
    <w:rsid w:val="003927EE"/>
    <w:rsid w:val="003E44AA"/>
    <w:rsid w:val="00440216"/>
    <w:rsid w:val="004958D2"/>
    <w:rsid w:val="004C53AB"/>
    <w:rsid w:val="00505689"/>
    <w:rsid w:val="005205CE"/>
    <w:rsid w:val="00583C54"/>
    <w:rsid w:val="005A2B19"/>
    <w:rsid w:val="005A633B"/>
    <w:rsid w:val="005D008D"/>
    <w:rsid w:val="005D3462"/>
    <w:rsid w:val="005F27E4"/>
    <w:rsid w:val="006313E5"/>
    <w:rsid w:val="00631851"/>
    <w:rsid w:val="00650023"/>
    <w:rsid w:val="006747F6"/>
    <w:rsid w:val="006B1211"/>
    <w:rsid w:val="006F5ACA"/>
    <w:rsid w:val="00704112"/>
    <w:rsid w:val="0072704D"/>
    <w:rsid w:val="00797508"/>
    <w:rsid w:val="007B1EC8"/>
    <w:rsid w:val="0080186D"/>
    <w:rsid w:val="00823415"/>
    <w:rsid w:val="00856445"/>
    <w:rsid w:val="00885A72"/>
    <w:rsid w:val="00892460"/>
    <w:rsid w:val="008B0A64"/>
    <w:rsid w:val="008E06C4"/>
    <w:rsid w:val="009601A3"/>
    <w:rsid w:val="009E0780"/>
    <w:rsid w:val="00A42539"/>
    <w:rsid w:val="00A55D49"/>
    <w:rsid w:val="00A629F9"/>
    <w:rsid w:val="00AC0AE5"/>
    <w:rsid w:val="00AD0A69"/>
    <w:rsid w:val="00B04622"/>
    <w:rsid w:val="00B417B8"/>
    <w:rsid w:val="00B7456B"/>
    <w:rsid w:val="00B81D9F"/>
    <w:rsid w:val="00B91E66"/>
    <w:rsid w:val="00CF1A77"/>
    <w:rsid w:val="00D24306"/>
    <w:rsid w:val="00D31CE6"/>
    <w:rsid w:val="00D34FEF"/>
    <w:rsid w:val="00D50D7E"/>
    <w:rsid w:val="00D86F2B"/>
    <w:rsid w:val="00D90942"/>
    <w:rsid w:val="00E41D72"/>
    <w:rsid w:val="00E43515"/>
    <w:rsid w:val="00E953E4"/>
    <w:rsid w:val="00E95C47"/>
    <w:rsid w:val="00EC6E24"/>
    <w:rsid w:val="00EE4972"/>
    <w:rsid w:val="00F11AC5"/>
    <w:rsid w:val="00F20785"/>
    <w:rsid w:val="018301AC"/>
    <w:rsid w:val="01F82835"/>
    <w:rsid w:val="02C96579"/>
    <w:rsid w:val="046D19AD"/>
    <w:rsid w:val="04B05649"/>
    <w:rsid w:val="04F706E8"/>
    <w:rsid w:val="0515027B"/>
    <w:rsid w:val="057E791C"/>
    <w:rsid w:val="05B31914"/>
    <w:rsid w:val="07623AA1"/>
    <w:rsid w:val="08E73915"/>
    <w:rsid w:val="08F655F4"/>
    <w:rsid w:val="093B087A"/>
    <w:rsid w:val="09F22188"/>
    <w:rsid w:val="0A466107"/>
    <w:rsid w:val="0CC93539"/>
    <w:rsid w:val="0E2844A2"/>
    <w:rsid w:val="0F385F50"/>
    <w:rsid w:val="0FFA00C0"/>
    <w:rsid w:val="105A0933"/>
    <w:rsid w:val="1192632C"/>
    <w:rsid w:val="11A958FA"/>
    <w:rsid w:val="122B0EC1"/>
    <w:rsid w:val="123B2D88"/>
    <w:rsid w:val="1328239C"/>
    <w:rsid w:val="144A7DE1"/>
    <w:rsid w:val="14D77344"/>
    <w:rsid w:val="170A03B9"/>
    <w:rsid w:val="1713678C"/>
    <w:rsid w:val="176A5BE8"/>
    <w:rsid w:val="18A2696D"/>
    <w:rsid w:val="19834C82"/>
    <w:rsid w:val="19E84F9C"/>
    <w:rsid w:val="1CD603F1"/>
    <w:rsid w:val="1CE4136E"/>
    <w:rsid w:val="1D1D355E"/>
    <w:rsid w:val="1DA8060D"/>
    <w:rsid w:val="1DEE7269"/>
    <w:rsid w:val="1EFF79B3"/>
    <w:rsid w:val="1F4F3257"/>
    <w:rsid w:val="201E5397"/>
    <w:rsid w:val="20A65ECB"/>
    <w:rsid w:val="20DF5FFD"/>
    <w:rsid w:val="210F71C9"/>
    <w:rsid w:val="22665CE2"/>
    <w:rsid w:val="22F10EAE"/>
    <w:rsid w:val="24170DE9"/>
    <w:rsid w:val="245821F3"/>
    <w:rsid w:val="249544F0"/>
    <w:rsid w:val="24F41CD6"/>
    <w:rsid w:val="26215F4F"/>
    <w:rsid w:val="26C568DA"/>
    <w:rsid w:val="274E2D73"/>
    <w:rsid w:val="27673041"/>
    <w:rsid w:val="27D7759D"/>
    <w:rsid w:val="27F03E2A"/>
    <w:rsid w:val="28E66A8C"/>
    <w:rsid w:val="2C9F4A67"/>
    <w:rsid w:val="2C9F6417"/>
    <w:rsid w:val="2D1C09C2"/>
    <w:rsid w:val="2DD35D80"/>
    <w:rsid w:val="2E385BE3"/>
    <w:rsid w:val="2F867A13"/>
    <w:rsid w:val="30753187"/>
    <w:rsid w:val="30D616E4"/>
    <w:rsid w:val="31B15DF8"/>
    <w:rsid w:val="32883C32"/>
    <w:rsid w:val="333169EE"/>
    <w:rsid w:val="3365709F"/>
    <w:rsid w:val="33875B46"/>
    <w:rsid w:val="33A96D31"/>
    <w:rsid w:val="35C83CF1"/>
    <w:rsid w:val="36225ED6"/>
    <w:rsid w:val="376E43F9"/>
    <w:rsid w:val="38C4647F"/>
    <w:rsid w:val="38CE3014"/>
    <w:rsid w:val="38EC48D3"/>
    <w:rsid w:val="395137E4"/>
    <w:rsid w:val="39EB4452"/>
    <w:rsid w:val="3A0F6392"/>
    <w:rsid w:val="3AC35BDC"/>
    <w:rsid w:val="3B0F14B0"/>
    <w:rsid w:val="3B4069B8"/>
    <w:rsid w:val="3C1456E7"/>
    <w:rsid w:val="3C474FF4"/>
    <w:rsid w:val="3E063608"/>
    <w:rsid w:val="3FFF2A05"/>
    <w:rsid w:val="400902CE"/>
    <w:rsid w:val="415409E6"/>
    <w:rsid w:val="42033319"/>
    <w:rsid w:val="436C208A"/>
    <w:rsid w:val="44643605"/>
    <w:rsid w:val="454734FA"/>
    <w:rsid w:val="4560485F"/>
    <w:rsid w:val="490E5B97"/>
    <w:rsid w:val="493F3410"/>
    <w:rsid w:val="49DC10FB"/>
    <w:rsid w:val="4A616397"/>
    <w:rsid w:val="4A674BED"/>
    <w:rsid w:val="4A7D2EA4"/>
    <w:rsid w:val="4AD11BE1"/>
    <w:rsid w:val="4BE00815"/>
    <w:rsid w:val="4D213A30"/>
    <w:rsid w:val="4D5F3D23"/>
    <w:rsid w:val="4D622825"/>
    <w:rsid w:val="4E7F2BD5"/>
    <w:rsid w:val="4F4A531F"/>
    <w:rsid w:val="4F5C3415"/>
    <w:rsid w:val="4F8D1DDB"/>
    <w:rsid w:val="4FB670AD"/>
    <w:rsid w:val="4FF311E7"/>
    <w:rsid w:val="50570B94"/>
    <w:rsid w:val="523F4EE3"/>
    <w:rsid w:val="53355DEE"/>
    <w:rsid w:val="562B40FC"/>
    <w:rsid w:val="563A5E8C"/>
    <w:rsid w:val="57712235"/>
    <w:rsid w:val="58751061"/>
    <w:rsid w:val="59C73136"/>
    <w:rsid w:val="5A4D572F"/>
    <w:rsid w:val="5C174BC4"/>
    <w:rsid w:val="5C7552B3"/>
    <w:rsid w:val="5CCB2FE2"/>
    <w:rsid w:val="5E04428B"/>
    <w:rsid w:val="5E316028"/>
    <w:rsid w:val="5EDE3C30"/>
    <w:rsid w:val="600C1936"/>
    <w:rsid w:val="60D0082D"/>
    <w:rsid w:val="621D2C13"/>
    <w:rsid w:val="635F53E5"/>
    <w:rsid w:val="653A322F"/>
    <w:rsid w:val="66ED2D08"/>
    <w:rsid w:val="67315125"/>
    <w:rsid w:val="67FF0F45"/>
    <w:rsid w:val="691E081E"/>
    <w:rsid w:val="6BEB7C5D"/>
    <w:rsid w:val="6DBF60B8"/>
    <w:rsid w:val="6E1D0301"/>
    <w:rsid w:val="6F1F6DF8"/>
    <w:rsid w:val="70A717A2"/>
    <w:rsid w:val="71AD37BF"/>
    <w:rsid w:val="71B10072"/>
    <w:rsid w:val="72977F10"/>
    <w:rsid w:val="72D8012E"/>
    <w:rsid w:val="72E27499"/>
    <w:rsid w:val="73F21E1D"/>
    <w:rsid w:val="75CE3C64"/>
    <w:rsid w:val="76E34212"/>
    <w:rsid w:val="78B2494E"/>
    <w:rsid w:val="78F334DA"/>
    <w:rsid w:val="7A994CD1"/>
    <w:rsid w:val="7B5A12FD"/>
    <w:rsid w:val="7BEE75D5"/>
    <w:rsid w:val="7BF70B37"/>
    <w:rsid w:val="7CC540B3"/>
    <w:rsid w:val="7D1C7592"/>
    <w:rsid w:val="7D851DEF"/>
    <w:rsid w:val="7E0359DD"/>
    <w:rsid w:val="7E2A4E19"/>
    <w:rsid w:val="7F32671B"/>
    <w:rsid w:val="7FDD3FE6"/>
    <w:rsid w:val="7FE51CED"/>
    <w:rsid w:val="AEF7CE08"/>
    <w:rsid w:val="DF1FCBD4"/>
    <w:rsid w:val="EFFB0267"/>
    <w:rsid w:val="FA3FF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heme="minorHAnsi" w:hAnsiTheme="minorHAnsi" w:eastAsiaTheme="minorEastAsia" w:cstheme="minorBidi"/>
    </w:rPr>
  </w:style>
  <w:style w:type="paragraph" w:styleId="3">
    <w:name w:val="annotation text"/>
    <w:basedOn w:val="1"/>
    <w:semiHidden/>
    <w:unhideWhenUsed/>
    <w:qFormat/>
    <w:uiPriority w:val="99"/>
    <w:pPr>
      <w:jc w:val="left"/>
    </w:pPr>
  </w:style>
  <w:style w:type="paragraph" w:styleId="4">
    <w:name w:val="Body Text"/>
    <w:basedOn w:val="1"/>
    <w:semiHidden/>
    <w:qFormat/>
    <w:uiPriority w:val="0"/>
  </w:style>
  <w:style w:type="paragraph" w:styleId="5">
    <w:name w:val="Balloon Text"/>
    <w:basedOn w:val="1"/>
    <w:link w:val="15"/>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0"/>
    <w:rPr>
      <w:b/>
    </w:rPr>
  </w:style>
  <w:style w:type="character" w:styleId="11">
    <w:name w:val="Hyperlink"/>
    <w:basedOn w:val="9"/>
    <w:unhideWhenUsed/>
    <w:qFormat/>
    <w:uiPriority w:val="99"/>
    <w:rPr>
      <w:color w:val="0000FF"/>
      <w:u w:val="single"/>
    </w:rPr>
  </w:style>
  <w:style w:type="character" w:customStyle="1" w:styleId="12">
    <w:name w:val="页眉 Char"/>
    <w:basedOn w:val="9"/>
    <w:link w:val="7"/>
    <w:semiHidden/>
    <w:qFormat/>
    <w:uiPriority w:val="99"/>
    <w:rPr>
      <w:rFonts w:ascii="Times New Roman" w:hAnsi="Times New Roman" w:eastAsia="宋体" w:cs="Times New Roman"/>
      <w:sz w:val="18"/>
      <w:szCs w:val="18"/>
    </w:rPr>
  </w:style>
  <w:style w:type="character" w:customStyle="1" w:styleId="13">
    <w:name w:val="页脚 Char"/>
    <w:basedOn w:val="9"/>
    <w:link w:val="6"/>
    <w:qFormat/>
    <w:uiPriority w:val="99"/>
    <w:rPr>
      <w:rFonts w:ascii="Times New Roman" w:hAnsi="Times New Roman" w:eastAsia="宋体" w:cs="Times New Roman"/>
      <w:sz w:val="18"/>
      <w:szCs w:val="18"/>
    </w:rPr>
  </w:style>
  <w:style w:type="paragraph" w:customStyle="1" w:styleId="14">
    <w:name w:val="模板2正文"/>
    <w:basedOn w:val="1"/>
    <w:autoRedefine/>
    <w:qFormat/>
    <w:uiPriority w:val="0"/>
    <w:pPr>
      <w:spacing w:beforeLines="50" w:line="360" w:lineRule="auto"/>
    </w:pPr>
    <w:rPr>
      <w:rFonts w:ascii="宋体" w:hAnsi="宋体" w:cs="宋体"/>
      <w:sz w:val="28"/>
      <w:szCs w:val="28"/>
    </w:rPr>
  </w:style>
  <w:style w:type="character" w:customStyle="1" w:styleId="15">
    <w:name w:val="批注框文本 Char"/>
    <w:basedOn w:val="9"/>
    <w:link w:val="5"/>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e9ebe3f9-c53d-4253-b3ad-ef611d1bb94f</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4C7AC61A</paraID>
      <start xmlns="http://schemas.wps.cn/vas-ai-hub/contract-review">55</start>
      <end xmlns="http://schemas.wps.cn/vas-ai-hub/contract-review">56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f0aecd3a-f937-44a3-9650-6cb6355ad9d6</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
      <paraID xmlns="http://schemas.wps.cn/vas-ai-hub/contract-review">28C87CE4</paraID>
      <start xmlns="http://schemas.wps.cn/vas-ai-hub/contract-review">38</start>
      <end xmlns="http://schemas.wps.cn/vas-ai-hub/contract-review">39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72ab3615-2775-4fb3-9a3f-6196f2cbe0dc</errorID>
      <errorWord xmlns="http://schemas.wps.cn/vas-ai-hub/contract-review">法治观念</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法治意识</item>
      </candidateList>
      <explain xmlns="http://schemas.wps.cn/vas-ai-hub/contract-review">此处内容疑似含有固定表述相关错误，建议核查。</explain>
      <paraID xmlns="http://schemas.wps.cn/vas-ai-hub/contract-review">18464F69</paraID>
      <start xmlns="http://schemas.wps.cn/vas-ai-hub/contract-review">14</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91291212-a9a6-4379-a2ef-577064511d69</errorID>
      <errorWord xmlns="http://schemas.wps.cn/vas-ai-hub/contract-review">机制体制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体制机制</item>
      </candidateList>
      <explain xmlns="http://schemas.wps.cn/vas-ai-hub/contract-review"/>
      <paraID xmlns="http://schemas.wps.cn/vas-ai-hub/contract-review">60888E5C</paraID>
      <start xmlns="http://schemas.wps.cn/vas-ai-hub/contract-review">12</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1b600032-3525-4e8e-9134-422793a4fe94</errorID>
      <errorWord xmlns="http://schemas.wps.cn/vas-ai-hub/contract-review">家园社协同育人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家校社协同育人</item>
      </candidateList>
      <explain xmlns="http://schemas.wps.cn/vas-ai-hub/contract-review">词汇“家校社协同育人”在特定场景下为固定表述形式，请确认此处的“家园社协同育人”是否存在不当。</explain>
      <paraID xmlns="http://schemas.wps.cn/vas-ai-hub/contract-review"> D045E63</paraID>
      <start xmlns="http://schemas.wps.cn/vas-ai-hub/contract-review">7</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445745a4-2613-4b23-9e21-2364e14cb4a6</errorID>
      <errorWord xmlns="http://schemas.wps.cn/vas-ai-hub/contract-review">内驱推动</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内生动力</item>
      </candidateList>
      <explain xmlns="http://schemas.wps.cn/vas-ai-hub/contract-review">此处内容疑似含有固定表述相关错误，建议核查。</explain>
      <paraID xmlns="http://schemas.wps.cn/vas-ai-hub/contract-review">58DFE4F2</paraID>
      <start xmlns="http://schemas.wps.cn/vas-ai-hub/contract-review">8</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d37c2bc6-341f-4912-9b41-ccc7ff54ac05</errorID>
      <errorWord xmlns="http://schemas.wps.cn/vas-ai-hub/contract-review">2025</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2025</item>
      </candidateList>
      <explain xmlns="http://schemas.wps.cn/vas-ai-hub/contract-review"/>
      <paraID xmlns="http://schemas.wps.cn/vas-ai-hub/contract-review">4EC4BA80</paraID>
      <start xmlns="http://schemas.wps.cn/vas-ai-hub/contract-review">19</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ef50bbc8-ecea-4338-b278-420e6efdae8c</errorID>
      <errorWord xmlns="http://schemas.wps.cn/vas-ai-hub/contract-review">运用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实践</item>
      </candidateList>
      <explain xmlns="http://schemas.wps.cn/vas-ai-hub/contract-review"/>
      <paraID xmlns="http://schemas.wps.cn/vas-ai-hub/contract-review">12F34005</paraID>
      <start xmlns="http://schemas.wps.cn/vas-ai-hub/contract-review">17</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7674fcee-3082-432d-951d-b8d2b75dcc9c</errorID>
      <errorWord xmlns="http://schemas.wps.cn/vas-ai-hub/contract-review">高中思想政治课程资源开发研究</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思想政治课程资源开发研究</item>
      </candidateList>
      <explain xmlns="http://schemas.wps.cn/vas-ai-hub/contract-review">术语一致性：文本中‘思想政治课程’表述更统一，‘高中思想政治课程’可简化为‘思想政治课程’</explain>
      <paraID xmlns="http://schemas.wps.cn/vas-ai-hub/contract-review">291B5475</paraID>
      <start xmlns="http://schemas.wps.cn/vas-ai-hub/contract-review">2</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da547967-b5f6-4cf2-b259-8040fe7947fd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2DC668EE</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3e70d542-8f68-483c-9994-98c68e61a7cb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2DC668EE</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5de449df-76eb-4364-b9a6-89133fd28926</errorID>
      <errorWord xmlns="http://schemas.wps.cn/vas-ai-hub/contract-review">15</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14</item>
      </candidateList>
      <explain xmlns="http://schemas.wps.cn/vas-ai-hub/contract-review"/>
      <paraID xmlns="http://schemas.wps.cn/vas-ai-hub/contract-review">767BD14A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8d77796f-4209-43f1-8df9-da2562202573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767BD14A</paraID>
      <start xmlns="http://schemas.wps.cn/vas-ai-hub/contract-review">9</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9b49e0e5-d6d8-4809-9f60-2f841ee23167</errorID>
      <errorWord xmlns="http://schemas.wps.cn/vas-ai-hub/contract-review">情景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情境</item>
      </candidateList>
      <explain xmlns="http://schemas.wps.cn/vas-ai-hub/contract-review"/>
      <paraID xmlns="http://schemas.wps.cn/vas-ai-hub/contract-review">1EA2ED3C</paraID>
      <start xmlns="http://schemas.wps.cn/vas-ai-hub/contract-review">7</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5d30a162-9d7d-460a-8f78-f63c5c2573d2</errorID>
      <errorWord xmlns="http://schemas.wps.cn/vas-ai-hub/contract-review">.应用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574AD50E</paraID>
      <start xmlns="http://schemas.wps.cn/vas-ai-hub/contract-review">2</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16fbebec-b1f6-4356-a5c5-753f42c47601</errorID>
      <errorWord xmlns="http://schemas.wps.cn/vas-ai-hub/contract-review">信息科技（技术）</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信息科技</item>
      </candidateList>
      <explain xmlns="http://schemas.wps.cn/vas-ai-hub/contract-review">术语一致性：在文本中，多数地方使用‘信息科技’，‘信息科技（技术）’表述不一致，应统一为‘信息科技’</explain>
      <paraID xmlns="http://schemas.wps.cn/vas-ai-hub/contract-review">2B14310A</paraID>
      <start xmlns="http://schemas.wps.cn/vas-ai-hub/contract-review">3</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b124789e-ee2c-471e-a02d-0cee73df69ee</errorID>
      <errorWord xmlns="http://schemas.wps.cn/vas-ai-hub/contract-review">作用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的作用</item>
      </candidateList>
      <explain xmlns="http://schemas.wps.cn/vas-ai-hub/contract-review"/>
      <paraID xmlns="http://schemas.wps.cn/vas-ai-hub/contract-review">76209439</paraID>
      <start xmlns="http://schemas.wps.cn/vas-ai-hub/contract-review">21</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c566c457-1453-4dd3-b75f-9b936fe6d840</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）建设的研究</item>
      </candidateList>
      <explain xmlns="http://schemas.wps.cn/vas-ai-hub/contract-review"/>
      <paraID xmlns="http://schemas.wps.cn/vas-ai-hub/contract-review">390EFBB4</paraID>
      <start xmlns="http://schemas.wps.cn/vas-ai-hub/contract-review">27</start>
      <end xmlns="http://schemas.wps.cn/vas-ai-hub/contract-review">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b74df3af-327a-49f9-a1ba-081f484fbd61</errorID>
      <errorWord xmlns="http://schemas.wps.cn/vas-ai-hub/contract-review">2025</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）（2025</item>
      </candidateList>
      <explain xmlns="http://schemas.wps.cn/vas-ai-hub/contract-review"/>
      <paraID xmlns="http://schemas.wps.cn/vas-ai-hub/contract-review"> B79378C</paraID>
      <start xmlns="http://schemas.wps.cn/vas-ai-hub/contract-review">16</start>
      <end xmlns="http://schemas.wps.cn/vas-ai-hub/contract-review">20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0be30066-025f-49fb-882d-f5e5e6205c5d</errorID>
      <errorWord xmlns="http://schemas.wps.cn/vas-ai-hub/contract-review">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意义</item>
      </candidateList>
      <explain xmlns="http://schemas.wps.cn/vas-ai-hub/contract-review"/>
      <paraID xmlns="http://schemas.wps.cn/vas-ai-hub/contract-review">288C1626</paraID>
      <start xmlns="http://schemas.wps.cn/vas-ai-hub/contract-review">25</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1eb2c67a-25e1-41a5-95ca-ad007f58b409</errorID>
      <errorWord xmlns="http://schemas.wps.cn/vas-ai-hub/contract-review">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机制</item>
      </candidateList>
      <explain xmlns="http://schemas.wps.cn/vas-ai-hub/contract-review"/>
      <paraID xmlns="http://schemas.wps.cn/vas-ai-hub/contract-review">35816986</paraID>
      <start xmlns="http://schemas.wps.cn/vas-ai-hub/contract-review">24</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dbd48d09-118d-4e50-8884-01e4bd91b309</errorID>
      <errorWord xmlns="http://schemas.wps.cn/vas-ai-hub/contract-review">路径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开发路径</item>
      </candidateList>
      <explain xmlns="http://schemas.wps.cn/vas-ai-hub/contract-review"/>
      <paraID xmlns="http://schemas.wps.cn/vas-ai-hub/contract-review">5734B9D1</paraID>
      <start xmlns="http://schemas.wps.cn/vas-ai-hub/contract-review">23</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e495a068-cb1c-4be4-9b1f-421f7fa87491</errorID>
      <errorWord xmlns="http://schemas.wps.cn/vas-ai-hub/contract-review">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研究</item>
      </candidateList>
      <explain xmlns="http://schemas.wps.cn/vas-ai-hub/contract-review">〈动〉❶探求事物的真相、性质、规律等：～语言｜学术～｜调查～。❷考虑或商讨（意见、问题）：今天的会议，准备～三个重要问题｜这个方案领导上正在～。</explain>
      <paraID xmlns="http://schemas.wps.cn/vas-ai-hub/contract-review">49C47F00</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9fc3a1dd-71f2-430c-bb01-b288b1371d6b</errorID>
      <errorWord xmlns="http://schemas.wps.cn/vas-ai-hub/contract-review">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开发</item>
      </candidateList>
      <explain xmlns="http://schemas.wps.cn/vas-ai-hub/contract-review">〈动〉支付；分发：～车钱｜～喜钱。</explain>
      <paraID xmlns="http://schemas.wps.cn/vas-ai-hub/contract-review">7476AE8C</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9EB339-2CDE-439C-BFD0-95296855235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3962</Words>
  <Characters>22588</Characters>
  <Lines>188</Lines>
  <Paragraphs>52</Paragraphs>
  <TotalTime>52</TotalTime>
  <ScaleCrop>false</ScaleCrop>
  <LinksUpToDate>false</LinksUpToDate>
  <CharactersWithSpaces>26498</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2025-03-15T05:38:00Z</dcterms:created>
  <dc:creator>Lenovo</dc:creator>
  <cp:lastModifiedBy>波仔</cp:lastModifiedBy>
  <cp:lastPrinted>2026-04-03T00:19:00Z</cp:lastPrinted>
  <dcterms:modified xsi:type="dcterms:W3CDTF">2026-04-03T10:23:35Z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eyJoZGlkIjoiMDkzODA4MjQxNDU4YTM0ZTI5MjUyZWU4MTBmZTUzMDciLCJ1c2VySWQiOiI0MjYyMzMzNDIifQ==</vt:lpwstr>
  </property>
  <property fmtid="{D5CDD505-2E9C-101B-9397-08002B2CF9AE}" pid="3" name="KSOProductBuildVer">
    <vt:lpwstr>2052-12.8.2.20327</vt:lpwstr>
  </property>
  <property fmtid="{D5CDD505-2E9C-101B-9397-08002B2CF9AE}" pid="4" name="ICV">
    <vt:lpwstr>A224284C8D5D4CD5AAA00F6A040815A2_13</vt:lpwstr>
  </property>
</Properties>
</file>